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40" w:lineRule="exact"/>
        <w:jc w:val="left"/>
        <w:rPr>
          <w:rFonts w:ascii="方正黑体_GBK" w:hAnsi="黑体" w:eastAsia="方正黑体_GBK" w:cs="方正黑体_GBK"/>
          <w:sz w:val="32"/>
          <w:szCs w:val="32"/>
        </w:rPr>
      </w:pPr>
      <w:r>
        <w:rPr>
          <w:rFonts w:hint="eastAsia" w:ascii="方正黑体_GBK" w:hAnsi="黑体" w:eastAsia="方正黑体_GBK" w:cs="方正黑体_GBK"/>
          <w:sz w:val="32"/>
          <w:szCs w:val="32"/>
        </w:rPr>
        <w:t>附件</w:t>
      </w:r>
      <w:r>
        <w:rPr>
          <w:rFonts w:ascii="方正黑体_GBK" w:hAnsi="黑体" w:eastAsia="方正黑体_GBK" w:cs="方正黑体_GBK"/>
          <w:sz w:val="32"/>
          <w:szCs w:val="32"/>
        </w:rPr>
        <w:t>6</w:t>
      </w:r>
    </w:p>
    <w:p>
      <w:pPr>
        <w:spacing w:afterLines="50" w:line="640" w:lineRule="exact"/>
        <w:jc w:val="center"/>
        <w:rPr>
          <w:rFonts w:ascii="黑体" w:hAnsi="黑体" w:eastAsia="黑体" w:cs="Times New Roman"/>
          <w:sz w:val="44"/>
          <w:szCs w:val="44"/>
        </w:rPr>
      </w:pPr>
      <w:r>
        <w:rPr>
          <w:rFonts w:hint="eastAsia" w:ascii="黑体" w:hAnsi="黑体" w:eastAsia="黑体" w:cs="黑体"/>
          <w:sz w:val="44"/>
          <w:szCs w:val="44"/>
        </w:rPr>
        <w:t>安徽省普通高校基本教学活动标准化建设及示范创建达标统计表</w:t>
      </w:r>
    </w:p>
    <w:p>
      <w:pPr>
        <w:spacing w:beforeLines="100" w:afterLines="100" w:line="640" w:lineRule="exact"/>
        <w:rPr>
          <w:rFonts w:ascii="FangSong_GB2312" w:hAnsi="黑体" w:eastAsia="Times New Roman" w:cs="Times New Roman"/>
          <w:sz w:val="30"/>
          <w:szCs w:val="30"/>
          <w:u w:val="single"/>
        </w:rPr>
      </w:pPr>
      <w:r>
        <w:rPr>
          <w:rFonts w:hint="eastAsia" w:ascii="黑体" w:hAnsi="黑体" w:eastAsia="黑体" w:cs="黑体"/>
          <w:sz w:val="28"/>
          <w:szCs w:val="28"/>
          <w:lang w:eastAsia="zh-CN"/>
        </w:rPr>
        <w:t>学院</w:t>
      </w:r>
      <w:bookmarkStart w:id="0" w:name="_GoBack"/>
      <w:bookmarkEnd w:id="0"/>
      <w:r>
        <w:rPr>
          <w:rFonts w:hint="eastAsia" w:ascii="黑体" w:hAnsi="黑体" w:eastAsia="黑体" w:cs="黑体"/>
          <w:sz w:val="28"/>
          <w:szCs w:val="28"/>
        </w:rPr>
        <w:t>名称：</w:t>
      </w:r>
      <w:r>
        <w:rPr>
          <w:rFonts w:ascii="黑体" w:hAnsi="黑体" w:eastAsia="黑体" w:cs="黑体"/>
          <w:sz w:val="28"/>
          <w:szCs w:val="28"/>
          <w:u w:val="single"/>
        </w:rPr>
        <w:t xml:space="preserve">                      </w:t>
      </w:r>
      <w:r>
        <w:rPr>
          <w:rFonts w:ascii="黑体" w:hAnsi="黑体" w:eastAsia="黑体" w:cs="黑体"/>
          <w:sz w:val="28"/>
          <w:szCs w:val="28"/>
        </w:rPr>
        <w:t xml:space="preserve">          </w:t>
      </w:r>
      <w:r>
        <w:rPr>
          <w:rFonts w:hint="eastAsia" w:ascii="黑体" w:hAnsi="黑体" w:eastAsia="黑体" w:cs="黑体"/>
          <w:sz w:val="28"/>
          <w:szCs w:val="28"/>
        </w:rPr>
        <w:t>课程名称：</w:t>
      </w:r>
      <w:r>
        <w:rPr>
          <w:rFonts w:ascii="黑体" w:hAnsi="黑体" w:eastAsia="黑体" w:cs="黑体"/>
          <w:sz w:val="28"/>
          <w:szCs w:val="28"/>
          <w:u w:val="single"/>
        </w:rPr>
        <w:t xml:space="preserve">                      </w:t>
      </w:r>
      <w:r>
        <w:rPr>
          <w:rFonts w:ascii="黑体" w:hAnsi="黑体" w:eastAsia="黑体" w:cs="黑体"/>
          <w:sz w:val="28"/>
          <w:szCs w:val="28"/>
        </w:rPr>
        <w:t xml:space="preserve">          </w:t>
      </w:r>
      <w:r>
        <w:rPr>
          <w:rFonts w:hint="eastAsia" w:ascii="黑体" w:hAnsi="黑体" w:eastAsia="黑体" w:cs="黑体"/>
          <w:sz w:val="28"/>
          <w:szCs w:val="28"/>
        </w:rPr>
        <w:t>负责人：</w:t>
      </w:r>
      <w:r>
        <w:rPr>
          <w:rFonts w:ascii="黑体" w:hAnsi="黑体" w:eastAsia="黑体" w:cs="黑体"/>
          <w:sz w:val="28"/>
          <w:szCs w:val="28"/>
          <w:u w:val="single"/>
        </w:rPr>
        <w:t xml:space="preserve">                      </w:t>
      </w:r>
      <w:r>
        <w:rPr>
          <w:rFonts w:ascii="黑体" w:hAnsi="黑体" w:eastAsia="黑体" w:cs="黑体"/>
          <w:sz w:val="28"/>
          <w:szCs w:val="28"/>
        </w:rPr>
        <w:t xml:space="preserve">          </w:t>
      </w:r>
      <w:r>
        <w:rPr>
          <w:rFonts w:hint="eastAsia" w:ascii="黑体" w:hAnsi="黑体" w:eastAsia="黑体" w:cs="黑体"/>
          <w:sz w:val="28"/>
          <w:szCs w:val="28"/>
        </w:rPr>
        <w:t>填表时间：</w:t>
      </w:r>
      <w:r>
        <w:rPr>
          <w:rFonts w:ascii="黑体" w:hAnsi="黑体" w:eastAsia="黑体" w:cs="黑体"/>
          <w:sz w:val="28"/>
          <w:szCs w:val="28"/>
          <w:u w:val="single"/>
        </w:rPr>
        <w:t xml:space="preserve">                     </w:t>
      </w:r>
    </w:p>
    <w:p>
      <w:pPr>
        <w:spacing w:beforeLines="100" w:afterLines="100" w:line="440" w:lineRule="exact"/>
        <w:ind w:firstLine="562" w:firstLineChars="200"/>
        <w:rPr>
          <w:rFonts w:ascii="Heiti SC Medium" w:hAnsi="Heiti SC Medium" w:eastAsia="Heiti SC Medium" w:cs="Times New Roman"/>
          <w:color w:val="000000"/>
          <w:sz w:val="28"/>
          <w:szCs w:val="28"/>
        </w:rPr>
      </w:pPr>
      <w:r>
        <w:rPr>
          <w:rFonts w:hint="eastAsia" w:ascii="黑体" w:hAnsi="黑体" w:eastAsia="黑体" w:cs="黑体"/>
          <w:b/>
          <w:bCs/>
          <w:color w:val="000000"/>
          <w:sz w:val="30"/>
          <w:szCs w:val="30"/>
        </w:rPr>
        <w:t>一、安徽省普通高校基本教学活动标准化建设达标情况</w:t>
      </w:r>
    </w:p>
    <w:tbl>
      <w:tblPr>
        <w:tblStyle w:val="2"/>
        <w:tblW w:w="209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14"/>
        <w:gridCol w:w="3118"/>
        <w:gridCol w:w="1291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spacing w:line="432" w:lineRule="exact"/>
              <w:ind w:firstLine="21" w:firstLineChars="8"/>
              <w:jc w:val="center"/>
              <w:rPr>
                <w:rFonts w:ascii="黑体" w:hAnsi="黑体" w:eastAsia="黑体" w:cs="Times New Roman"/>
                <w:color w:val="000000"/>
                <w:sz w:val="28"/>
                <w:szCs w:val="28"/>
              </w:rPr>
            </w:pPr>
            <w:r>
              <w:rPr>
                <w:rFonts w:hint="eastAsia" w:ascii="黑体" w:hAnsi="黑体" w:eastAsia="黑体" w:cs="黑体"/>
                <w:color w:val="000000"/>
                <w:sz w:val="28"/>
                <w:szCs w:val="28"/>
              </w:rPr>
              <w:t>一级指标</w:t>
            </w:r>
          </w:p>
        </w:tc>
        <w:tc>
          <w:tcPr>
            <w:tcW w:w="1714" w:type="dxa"/>
            <w:vAlign w:val="center"/>
          </w:tcPr>
          <w:p>
            <w:pPr>
              <w:spacing w:line="432" w:lineRule="exact"/>
              <w:ind w:firstLine="21" w:firstLineChars="8"/>
              <w:jc w:val="center"/>
              <w:rPr>
                <w:rFonts w:ascii="黑体" w:hAnsi="黑体" w:eastAsia="黑体" w:cs="Times New Roman"/>
                <w:color w:val="000000"/>
                <w:sz w:val="28"/>
                <w:szCs w:val="28"/>
              </w:rPr>
            </w:pPr>
            <w:r>
              <w:rPr>
                <w:rFonts w:hint="eastAsia" w:ascii="黑体" w:hAnsi="黑体" w:eastAsia="黑体" w:cs="黑体"/>
                <w:color w:val="000000"/>
                <w:sz w:val="28"/>
                <w:szCs w:val="28"/>
              </w:rPr>
              <w:t>二级指标</w:t>
            </w:r>
          </w:p>
        </w:tc>
        <w:tc>
          <w:tcPr>
            <w:tcW w:w="3118" w:type="dxa"/>
            <w:vAlign w:val="center"/>
          </w:tcPr>
          <w:p>
            <w:pPr>
              <w:spacing w:line="432" w:lineRule="exact"/>
              <w:ind w:firstLine="21" w:firstLineChars="8"/>
              <w:jc w:val="center"/>
              <w:rPr>
                <w:rFonts w:ascii="黑体" w:hAnsi="黑体" w:eastAsia="黑体" w:cs="Times New Roman"/>
                <w:color w:val="000000"/>
                <w:sz w:val="28"/>
                <w:szCs w:val="28"/>
              </w:rPr>
            </w:pPr>
            <w:r>
              <w:rPr>
                <w:rFonts w:hint="eastAsia" w:ascii="黑体" w:hAnsi="黑体" w:eastAsia="黑体" w:cs="黑体"/>
                <w:color w:val="000000"/>
                <w:sz w:val="28"/>
                <w:szCs w:val="28"/>
              </w:rPr>
              <w:t>观测点</w:t>
            </w:r>
          </w:p>
        </w:tc>
        <w:tc>
          <w:tcPr>
            <w:tcW w:w="12919" w:type="dxa"/>
            <w:vAlign w:val="center"/>
          </w:tcPr>
          <w:p>
            <w:pPr>
              <w:spacing w:line="432" w:lineRule="exact"/>
              <w:ind w:firstLine="21" w:firstLineChars="8"/>
              <w:jc w:val="center"/>
              <w:rPr>
                <w:rFonts w:ascii="黑体" w:hAnsi="黑体" w:eastAsia="黑体" w:cs="Times New Roman"/>
                <w:color w:val="000000"/>
                <w:sz w:val="28"/>
                <w:szCs w:val="28"/>
              </w:rPr>
            </w:pPr>
            <w:r>
              <w:rPr>
                <w:rFonts w:ascii="黑体" w:hAnsi="黑体" w:eastAsia="黑体" w:cs="黑体"/>
                <w:color w:val="000000"/>
                <w:sz w:val="28"/>
                <w:szCs w:val="28"/>
              </w:rPr>
              <w:t xml:space="preserve">    </w:t>
            </w:r>
            <w:r>
              <w:rPr>
                <w:rFonts w:hint="eastAsia" w:ascii="黑体" w:hAnsi="黑体" w:eastAsia="黑体" w:cs="黑体"/>
                <w:color w:val="000000"/>
                <w:sz w:val="28"/>
                <w:szCs w:val="28"/>
              </w:rPr>
              <w:t>说</w:t>
            </w:r>
            <w:r>
              <w:rPr>
                <w:rFonts w:ascii="黑体" w:hAnsi="黑体" w:eastAsia="黑体" w:cs="黑体"/>
                <w:color w:val="000000"/>
                <w:sz w:val="28"/>
                <w:szCs w:val="28"/>
              </w:rPr>
              <w:t xml:space="preserve">    </w:t>
            </w:r>
            <w:r>
              <w:rPr>
                <w:rFonts w:hint="eastAsia" w:ascii="黑体" w:hAnsi="黑体" w:eastAsia="黑体" w:cs="黑体"/>
                <w:color w:val="000000"/>
                <w:sz w:val="28"/>
                <w:szCs w:val="28"/>
              </w:rPr>
              <w:t>明</w:t>
            </w:r>
          </w:p>
        </w:tc>
        <w:tc>
          <w:tcPr>
            <w:tcW w:w="2268" w:type="dxa"/>
          </w:tcPr>
          <w:p>
            <w:pPr>
              <w:spacing w:line="432" w:lineRule="exact"/>
              <w:ind w:firstLine="21" w:firstLineChars="8"/>
              <w:jc w:val="center"/>
              <w:rPr>
                <w:rFonts w:ascii="黑体" w:hAnsi="黑体" w:eastAsia="黑体" w:cs="Times New Roman"/>
                <w:color w:val="000000"/>
                <w:sz w:val="28"/>
                <w:szCs w:val="28"/>
              </w:rPr>
            </w:pPr>
            <w:r>
              <w:rPr>
                <w:rFonts w:hint="eastAsia" w:ascii="黑体" w:hAnsi="黑体" w:eastAsia="黑体" w:cs="黑体"/>
                <w:color w:val="000000"/>
                <w:sz w:val="28"/>
                <w:szCs w:val="28"/>
              </w:rPr>
              <w:t>是否达标</w:t>
            </w:r>
          </w:p>
          <w:p>
            <w:pPr>
              <w:spacing w:line="440" w:lineRule="exact"/>
              <w:jc w:val="center"/>
              <w:rPr>
                <w:rFonts w:ascii="方正黑体_GBK" w:hAnsi="方正黑体_GBK" w:eastAsia="方正黑体_GBK" w:cs="Times New Roman"/>
                <w:color w:val="000000"/>
                <w:sz w:val="28"/>
                <w:szCs w:val="28"/>
              </w:rPr>
            </w:pPr>
            <w:r>
              <w:rPr>
                <w:rFonts w:hint="eastAsia" w:ascii="黑体" w:hAnsi="黑体" w:eastAsia="黑体" w:cs="黑体"/>
                <w:color w:val="000000"/>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restart"/>
            <w:vAlign w:val="center"/>
          </w:tcPr>
          <w:p>
            <w:pPr>
              <w:spacing w:line="440" w:lineRule="exact"/>
              <w:jc w:val="center"/>
              <w:rPr>
                <w:rFonts w:ascii="黑体" w:hAnsi="黑体" w:eastAsia="黑体" w:cs="Times New Roman"/>
                <w:b/>
                <w:bCs/>
                <w:color w:val="000000"/>
                <w:sz w:val="28"/>
                <w:szCs w:val="28"/>
              </w:rPr>
            </w:pPr>
            <w:r>
              <w:rPr>
                <w:rFonts w:hint="eastAsia" w:ascii="黑体" w:hAnsi="黑体" w:eastAsia="黑体" w:cs="黑体"/>
                <w:b/>
                <w:bCs/>
                <w:color w:val="000000"/>
                <w:sz w:val="28"/>
                <w:szCs w:val="28"/>
              </w:rPr>
              <w:t>教学规范</w:t>
            </w:r>
          </w:p>
        </w:tc>
        <w:tc>
          <w:tcPr>
            <w:tcW w:w="1714"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政治立场</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坚持正确的政治方向</w:t>
            </w:r>
          </w:p>
        </w:tc>
        <w:tc>
          <w:tcPr>
            <w:tcW w:w="12919" w:type="dxa"/>
            <w:vAlign w:val="center"/>
          </w:tcPr>
          <w:p>
            <w:pPr>
              <w:spacing w:line="460" w:lineRule="exact"/>
              <w:jc w:val="left"/>
              <w:rPr>
                <w:rFonts w:ascii="FangSong_GB2312" w:hAnsi="华文仿宋" w:eastAsia="Times New Roman" w:cs="Times New Roman"/>
                <w:b/>
                <w:bCs/>
                <w:color w:val="000000"/>
                <w:sz w:val="28"/>
                <w:szCs w:val="28"/>
              </w:rPr>
            </w:pPr>
            <w:r>
              <w:rPr>
                <w:rFonts w:ascii="FangSong_GB2312" w:hAnsi="仿宋" w:eastAsia="Times New Roman" w:cs="Times New Roman"/>
                <w:color w:val="000000"/>
                <w:sz w:val="28"/>
                <w:szCs w:val="28"/>
              </w:rPr>
              <w:t>一切教学活动必须严格遵守政治纪律，认真贯彻执行党和国家的教育方针、政策，不得有损于国家利益和学生的健康成长。</w:t>
            </w:r>
          </w:p>
        </w:tc>
        <w:tc>
          <w:tcPr>
            <w:tcW w:w="2268" w:type="dxa"/>
            <w:vAlign w:val="center"/>
          </w:tcPr>
          <w:p>
            <w:pPr>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职业操守</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落实立德树人根本任务</w:t>
            </w:r>
          </w:p>
        </w:tc>
        <w:tc>
          <w:tcPr>
            <w:tcW w:w="12919" w:type="dxa"/>
            <w:vAlign w:val="center"/>
          </w:tcPr>
          <w:p>
            <w:pPr>
              <w:spacing w:line="460" w:lineRule="exact"/>
              <w:jc w:val="left"/>
              <w:rPr>
                <w:rFonts w:ascii="FangSong_GB2312" w:hAnsi="华文仿宋" w:eastAsia="Times New Roman" w:cs="Times New Roman"/>
                <w:b/>
                <w:bCs/>
                <w:color w:val="000000"/>
                <w:sz w:val="28"/>
                <w:szCs w:val="28"/>
              </w:rPr>
            </w:pPr>
            <w:r>
              <w:rPr>
                <w:rFonts w:ascii="FangSong_GB2312" w:hAnsi="仿宋" w:eastAsia="Times New Roman" w:cs="Times New Roman"/>
                <w:color w:val="000000"/>
                <w:sz w:val="28"/>
                <w:szCs w:val="28"/>
              </w:rPr>
              <w:t>教学活动应符合高等教育基本规律和人才成长规律，充分发挥教师的主导作用和学生的主体作用，把立德树人内化到教学的各个环节，坚持以文化人、以德育人，不断提高学生思想水平、政治觉悟、道德品质、文化素养。</w:t>
            </w:r>
          </w:p>
        </w:tc>
        <w:tc>
          <w:tcPr>
            <w:tcW w:w="2268" w:type="dxa"/>
            <w:vAlign w:val="center"/>
          </w:tcPr>
          <w:p>
            <w:pPr>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恪守教育的基本信念</w:t>
            </w:r>
          </w:p>
        </w:tc>
        <w:tc>
          <w:tcPr>
            <w:tcW w:w="12919" w:type="dxa"/>
            <w:vAlign w:val="center"/>
          </w:tcPr>
          <w:p>
            <w:pPr>
              <w:tabs>
                <w:tab w:val="left" w:pos="5064"/>
              </w:tabs>
              <w:spacing w:line="460" w:lineRule="exact"/>
              <w:jc w:val="left"/>
              <w:rPr>
                <w:rFonts w:ascii="FangSong_GB2312" w:hAnsi="华文仿宋" w:eastAsia="Times New Roman" w:cs="Times New Roman"/>
                <w:b/>
                <w:bCs/>
                <w:color w:val="000000"/>
                <w:sz w:val="28"/>
                <w:szCs w:val="28"/>
              </w:rPr>
            </w:pPr>
            <w:r>
              <w:rPr>
                <w:rFonts w:ascii="FangSong_GB2312" w:hAnsi="仿宋" w:eastAsia="Times New Roman" w:cs="Times New Roman"/>
                <w:color w:val="000000"/>
                <w:sz w:val="28"/>
                <w:szCs w:val="28"/>
              </w:rPr>
              <w:t>教书育人是教师的责任和义务，教师在教学活动中须遵守师德规范，爱岗敬业，严于律己，公正、公平地对待每位学生，尊重学生人格，创造有利于学生健康成长的教学环境。</w:t>
            </w:r>
          </w:p>
        </w:tc>
        <w:tc>
          <w:tcPr>
            <w:tcW w:w="2268" w:type="dxa"/>
            <w:vAlign w:val="center"/>
          </w:tcPr>
          <w:p>
            <w:pPr>
              <w:tabs>
                <w:tab w:val="left" w:pos="506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严谨执教</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认真完成教学任务</w:t>
            </w:r>
          </w:p>
        </w:tc>
        <w:tc>
          <w:tcPr>
            <w:tcW w:w="12919" w:type="dxa"/>
            <w:vAlign w:val="center"/>
          </w:tcPr>
          <w:p>
            <w:pPr>
              <w:spacing w:line="460" w:lineRule="exact"/>
              <w:jc w:val="left"/>
              <w:rPr>
                <w:rFonts w:ascii="FangSong_GB2312" w:hAnsi="华文仿宋" w:eastAsia="Times New Roman" w:cs="Times New Roman"/>
                <w:b/>
                <w:bCs/>
                <w:color w:val="000000"/>
                <w:sz w:val="28"/>
                <w:szCs w:val="28"/>
              </w:rPr>
            </w:pPr>
            <w:r>
              <w:rPr>
                <w:rFonts w:ascii="FangSong_GB2312" w:hAnsi="仿宋" w:eastAsia="Times New Roman" w:cs="Times New Roman"/>
                <w:color w:val="000000"/>
                <w:sz w:val="28"/>
                <w:szCs w:val="28"/>
              </w:rPr>
              <w:t>遵循教学客观规律，认真完成教学任务，维护课堂纪律，对学生在教学过程中的不当行为加以及时制止、批评教育，定期进行教学质量检查，每门课程至少应有</w:t>
            </w:r>
            <w:r>
              <w:rPr>
                <w:rFonts w:ascii="FangSong_GB2312" w:hAnsi="仿宋" w:eastAsia="Times New Roman" w:cs="FangSong_GB2312"/>
                <w:color w:val="000000"/>
                <w:sz w:val="28"/>
                <w:szCs w:val="28"/>
              </w:rPr>
              <w:t>1</w:t>
            </w:r>
            <w:r>
              <w:rPr>
                <w:rFonts w:ascii="FangSong_GB2312" w:hAnsi="仿宋" w:eastAsia="Times New Roman" w:cs="Times New Roman"/>
                <w:color w:val="000000"/>
                <w:sz w:val="28"/>
                <w:szCs w:val="28"/>
              </w:rPr>
              <w:t>次教学考核，作为学生课程成绩的评价标准之一。</w:t>
            </w:r>
          </w:p>
        </w:tc>
        <w:tc>
          <w:tcPr>
            <w:tcW w:w="2268" w:type="dxa"/>
            <w:vAlign w:val="center"/>
          </w:tcPr>
          <w:p>
            <w:pPr>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为人师表</w:t>
            </w:r>
          </w:p>
        </w:tc>
        <w:tc>
          <w:tcPr>
            <w:tcW w:w="12919" w:type="dxa"/>
            <w:vAlign w:val="center"/>
          </w:tcPr>
          <w:p>
            <w:pPr>
              <w:spacing w:line="460" w:lineRule="exact"/>
              <w:jc w:val="left"/>
              <w:rPr>
                <w:rFonts w:ascii="FangSong_GB2312" w:hAnsi="华文仿宋" w:eastAsia="Times New Roman" w:cs="Times New Roman"/>
                <w:b/>
                <w:bCs/>
                <w:color w:val="000000"/>
                <w:sz w:val="28"/>
                <w:szCs w:val="28"/>
              </w:rPr>
            </w:pPr>
            <w:r>
              <w:rPr>
                <w:rFonts w:ascii="FangSong_GB2312" w:hAnsi="仿宋" w:eastAsia="Times New Roman" w:cs="Times New Roman"/>
                <w:color w:val="000000"/>
                <w:sz w:val="28"/>
                <w:szCs w:val="28"/>
              </w:rPr>
              <w:t>教风端正，着装得体，言行文明，以优良的思想品德、仪表、语言、行为对学生言传身教。</w:t>
            </w:r>
          </w:p>
        </w:tc>
        <w:tc>
          <w:tcPr>
            <w:tcW w:w="2268" w:type="dxa"/>
            <w:vAlign w:val="center"/>
          </w:tcPr>
          <w:p>
            <w:pPr>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严格遵守学校教学管理制度</w:t>
            </w:r>
          </w:p>
        </w:tc>
        <w:tc>
          <w:tcPr>
            <w:tcW w:w="12919" w:type="dxa"/>
            <w:vAlign w:val="center"/>
          </w:tcPr>
          <w:p>
            <w:pPr>
              <w:tabs>
                <w:tab w:val="left" w:pos="4544"/>
              </w:tabs>
              <w:spacing w:line="460" w:lineRule="exact"/>
              <w:jc w:val="left"/>
              <w:rPr>
                <w:rFonts w:ascii="FangSong_GB2312" w:hAnsi="华文仿宋" w:eastAsia="Times New Roman" w:cs="Times New Roman"/>
                <w:color w:val="000000"/>
                <w:sz w:val="28"/>
                <w:szCs w:val="28"/>
              </w:rPr>
            </w:pPr>
            <w:r>
              <w:rPr>
                <w:rFonts w:ascii="FangSong_GB2312" w:hAnsi="仿宋" w:eastAsia="Times New Roman" w:cs="Times New Roman"/>
                <w:color w:val="000000"/>
                <w:sz w:val="28"/>
                <w:szCs w:val="28"/>
              </w:rPr>
              <w:t>按照作息时间上课、下课，不得无故旷课、迟到或提前下课，不得擅自调课、停课、请人代课。教师在课堂上不得做与教学无关的事情。</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restart"/>
            <w:vAlign w:val="center"/>
          </w:tcPr>
          <w:p>
            <w:pPr>
              <w:spacing w:line="440" w:lineRule="exact"/>
              <w:jc w:val="center"/>
              <w:rPr>
                <w:rFonts w:ascii="黑体" w:hAnsi="黑体" w:eastAsia="黑体" w:cs="Times New Roman"/>
                <w:b/>
                <w:bCs/>
                <w:color w:val="000000"/>
                <w:sz w:val="28"/>
                <w:szCs w:val="28"/>
              </w:rPr>
            </w:pPr>
            <w:r>
              <w:rPr>
                <w:rFonts w:hint="eastAsia" w:ascii="黑体" w:hAnsi="黑体" w:eastAsia="黑体" w:cs="黑体"/>
                <w:b/>
                <w:bCs/>
                <w:color w:val="000000"/>
                <w:sz w:val="28"/>
                <w:szCs w:val="28"/>
              </w:rPr>
              <w:t>教学组织</w:t>
            </w: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备课</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确定教学大纲</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认真钻研和掌握教材的全部内容及结构，统筹组织安排本课程各环节的教学工作，具有明确的教学大纲。</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制订教学日历</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根据教学大纲，安排教学进度，制订教学日历。</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准备教辅材料</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按照教学大纲要求准备教辅材料，根据需要开发制作电子课件，认真撰写教案或讲稿，并选定与教材匹配的参考书。</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授课</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明确课程要求</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在开课之初应准备课程简介，依据课程教学大纲简要介绍课程概况、考核方式、平时成绩构成以及课程总成绩的结构比例，对课程学习提出明确的要求。</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认真讲解课程内容</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在讲授过程中，任课教师应全面把握课程教学的深度、广度，注意课程内容的前后衔接，积极运用灵活多样的教学方法，着重阐述基本理论和基本概念，讲清教学内容的重点和难点。</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教学互动</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在教学活动中设计互动环节，针对教学目的和教学重难点，通过归纳互动问题、精选讨论案例等方式，加强学生在教学过程中的主动参与，培养学生的自主学习意识和创新能力。</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教学形式规范</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在课堂上应采用普通话进行讲授，做到语言清晰流畅，书写、绘图工整规范。严格按照安排组织教学，不得任意增加或削减课时。</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restart"/>
            <w:vAlign w:val="center"/>
          </w:tcPr>
          <w:p>
            <w:pPr>
              <w:tabs>
                <w:tab w:val="left" w:pos="4544"/>
              </w:tabs>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多媒体教学</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课件制作</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根据教学需要制作电子课件，课件内容要与教学内容相一致，科学准确，符合学生认知规律。</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tabs>
                <w:tab w:val="left" w:pos="4544"/>
              </w:tabs>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多媒体操作</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课前做好充分的准备工作，熟练掌握操作规程。遇停电或多媒体设备不能正常使用时，应坚持用其它方式讲课，确保课堂教学正常进行。</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辅导答疑</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落实辅导答疑环节</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合理安排答疑时间和地点，做好学生的辅导、答疑工作，以个别答疑为主，对共性的问题可以进行集体辅导。</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作业批改</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布置适量作业</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结合教学要求布置适量作业（含专项练习题、撰写论文、课堂演讲、读书报告等</w:t>
            </w:r>
            <w:r>
              <w:rPr>
                <w:rFonts w:ascii="FangSong_GB2312" w:hAnsi="仿宋" w:eastAsia="Times New Roman" w:cs="FangSong_GB2312"/>
                <w:color w:val="000000"/>
                <w:sz w:val="28"/>
                <w:szCs w:val="28"/>
              </w:rPr>
              <w:t>)</w:t>
            </w:r>
            <w:r>
              <w:rPr>
                <w:rFonts w:ascii="FangSong_GB2312" w:hAnsi="仿宋" w:eastAsia="Times New Roman" w:cs="Times New Roman"/>
                <w:color w:val="000000"/>
                <w:sz w:val="28"/>
                <w:szCs w:val="28"/>
              </w:rPr>
              <w:t>，每门课程不少于</w:t>
            </w:r>
            <w:r>
              <w:rPr>
                <w:rFonts w:ascii="FangSong_GB2312" w:hAnsi="仿宋" w:eastAsia="Times New Roman" w:cs="FangSong_GB2312"/>
                <w:color w:val="000000"/>
                <w:sz w:val="28"/>
                <w:szCs w:val="28"/>
              </w:rPr>
              <w:t>3</w:t>
            </w:r>
            <w:r>
              <w:rPr>
                <w:rFonts w:ascii="FangSong_GB2312" w:hAnsi="仿宋" w:eastAsia="Times New Roman" w:cs="Times New Roman"/>
                <w:color w:val="000000"/>
                <w:sz w:val="28"/>
                <w:szCs w:val="28"/>
              </w:rPr>
              <w:t>次作业，以强化教学效果，提高学生自主学习能力。</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批改作业</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认真细致地批改学生作业，并做好作业成绩登记，作为评定学生平时成绩的重要依据。</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restart"/>
            <w:vAlign w:val="center"/>
          </w:tcPr>
          <w:p>
            <w:pPr>
              <w:spacing w:line="440" w:lineRule="exact"/>
              <w:jc w:val="center"/>
              <w:rPr>
                <w:rFonts w:ascii="黑体" w:hAnsi="黑体" w:eastAsia="黑体" w:cs="Times New Roman"/>
                <w:b/>
                <w:bCs/>
                <w:color w:val="000000"/>
                <w:sz w:val="28"/>
                <w:szCs w:val="28"/>
              </w:rPr>
            </w:pPr>
            <w:r>
              <w:rPr>
                <w:rFonts w:hint="eastAsia" w:ascii="黑体" w:hAnsi="黑体" w:eastAsia="黑体" w:cs="黑体"/>
                <w:b/>
                <w:bCs/>
                <w:color w:val="000000"/>
                <w:sz w:val="28"/>
                <w:szCs w:val="28"/>
              </w:rPr>
              <w:t>学生管理</w:t>
            </w:r>
          </w:p>
          <w:p>
            <w:pPr>
              <w:spacing w:line="440" w:lineRule="exact"/>
              <w:jc w:val="center"/>
              <w:rPr>
                <w:rFonts w:ascii="黑体" w:hAnsi="黑体" w:eastAsia="黑体" w:cs="Times New Roman"/>
                <w:b/>
                <w:bCs/>
                <w:color w:val="000000"/>
                <w:sz w:val="28"/>
                <w:szCs w:val="28"/>
              </w:rPr>
            </w:pPr>
          </w:p>
          <w:p>
            <w:pPr>
              <w:spacing w:line="440" w:lineRule="exact"/>
              <w:jc w:val="center"/>
              <w:rPr>
                <w:rFonts w:ascii="黑体" w:hAnsi="黑体" w:eastAsia="黑体" w:cs="Times New Roman"/>
                <w:b/>
                <w:bCs/>
                <w:color w:val="000000"/>
                <w:sz w:val="28"/>
                <w:szCs w:val="28"/>
              </w:rPr>
            </w:pP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严格执行学生管理制度</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考核学生出勤</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严格要求学生按时上课，不得迟到、早退或旷课。因病、因事而不能上课者须事先请假。应具有学生出勤记录。</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规范学生行为</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严格要求学生遵守高等学校学生行为准则。进入教室衣着应大方、整洁得体；严禁在教室内吸烟或将食物带进教室；杜绝在课堂内睡觉或大声喧哗。</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维护教学纪律</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严格要求学生自觉遵守课堂纪律，保持教室肃静，认真听讲，积极参加课堂研讨，不得做与上课无关的事情。督促学生按照学习要求，合理进行预习、复习，认真完成作业。</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强调尊重教师</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强调尊重教师</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教育学生尊重教师。对学生和相关部门提出的关于教学工作的意见，应认真吸纳，及时整改。</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教育学生爱护教学设施</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教育学生爱护教学设施</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严格要求学生爱护各类教学设施，不得挪动、损坏教学设施，严禁在课桌椅、墙壁等教学设施上涂画、张贴。</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restart"/>
            <w:vAlign w:val="center"/>
          </w:tcPr>
          <w:p>
            <w:pPr>
              <w:spacing w:line="440" w:lineRule="exact"/>
              <w:jc w:val="center"/>
              <w:rPr>
                <w:rFonts w:ascii="黑体" w:hAnsi="黑体" w:eastAsia="黑体" w:cs="Times New Roman"/>
                <w:b/>
                <w:bCs/>
                <w:color w:val="000000"/>
                <w:sz w:val="28"/>
                <w:szCs w:val="28"/>
              </w:rPr>
            </w:pPr>
            <w:r>
              <w:rPr>
                <w:rFonts w:hint="eastAsia" w:ascii="黑体" w:hAnsi="黑体" w:eastAsia="黑体" w:cs="黑体"/>
                <w:b/>
                <w:bCs/>
                <w:color w:val="000000"/>
                <w:sz w:val="28"/>
                <w:szCs w:val="28"/>
              </w:rPr>
              <w:t>实验教学</w:t>
            </w: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实验设备管理</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实验安全管理</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对学生进行安全教育，采取必要的防护措施。</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实验设备保障</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加强实验教学的管理，保证实验设备和器材的正常运行。</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实验教学组织</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指导实验</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按照教学要求制订实验指导，明确实验目的、要求和内容，实验教师应认真准备并指导学生实验，取得可靠数据，分析实验结果。</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实验检查与监督</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加强对学生实验的检查和监督，及时处理实验过程中出现的问题。认真审核学生实验方案和实验数据，及时批改学生的实验报告。</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restart"/>
            <w:vAlign w:val="center"/>
          </w:tcPr>
          <w:p>
            <w:pPr>
              <w:spacing w:line="440" w:lineRule="exact"/>
              <w:jc w:val="center"/>
              <w:rPr>
                <w:rFonts w:ascii="黑体" w:hAnsi="黑体" w:eastAsia="黑体" w:cs="Times New Roman"/>
                <w:b/>
                <w:bCs/>
                <w:color w:val="000000"/>
                <w:sz w:val="28"/>
                <w:szCs w:val="28"/>
              </w:rPr>
            </w:pPr>
            <w:r>
              <w:rPr>
                <w:rFonts w:hint="eastAsia" w:ascii="黑体" w:hAnsi="黑体" w:eastAsia="黑体" w:cs="黑体"/>
                <w:b/>
                <w:bCs/>
                <w:color w:val="000000"/>
                <w:sz w:val="28"/>
                <w:szCs w:val="28"/>
              </w:rPr>
              <w:t>实习实训教学</w:t>
            </w: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实习实训组织</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实习实训安排</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根据专业培养目标和教学计划制订实习实训大纲，确定实习实训内容，选定实习实训场所，落实学习计划。</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实习实训安全教育</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实习实训过程中必须加强思想政治工作和安全教育，做好安全防护工作，妥善安排好学生的生活。</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实习实训考核</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实习实训结束时应及时做好考核，根据学生实习实训情况进行评分，并做好总结工作。</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实习实训教学指导</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实习实训教学指导</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提前确定实习实训指导教师，指导教师要明确分工，根据实习实训现场具体情况制订实习实训进程计划、实习实训内容与要求。对新开辟的实习实训场所或首次指导实习实训的教师，应在学生进场前提前到现场作好准备工作。</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bl>
    <w:p>
      <w:pPr>
        <w:widowControl/>
        <w:jc w:val="left"/>
        <w:rPr>
          <w:rFonts w:ascii="华文仿宋" w:hAnsi="华文仿宋" w:eastAsia="华文仿宋" w:cs="Times New Roman"/>
          <w:b/>
          <w:bCs/>
          <w:color w:val="000000"/>
          <w:sz w:val="28"/>
          <w:szCs w:val="28"/>
        </w:rPr>
      </w:pPr>
      <w:r>
        <w:rPr>
          <w:rFonts w:ascii="华文仿宋" w:hAnsi="华文仿宋" w:eastAsia="华文仿宋" w:cs="Times New Roman"/>
          <w:b/>
          <w:bCs/>
          <w:color w:val="000000"/>
          <w:sz w:val="28"/>
          <w:szCs w:val="28"/>
        </w:rPr>
        <w:br w:type="page"/>
      </w:r>
    </w:p>
    <w:p>
      <w:pPr>
        <w:spacing w:beforeLines="100" w:afterLines="100" w:line="440" w:lineRule="exact"/>
        <w:ind w:firstLine="562" w:firstLineChars="200"/>
        <w:rPr>
          <w:rFonts w:ascii="黑体" w:hAnsi="黑体" w:eastAsia="黑体" w:cs="Times New Roman"/>
          <w:b/>
          <w:bCs/>
          <w:color w:val="000000"/>
          <w:sz w:val="30"/>
          <w:szCs w:val="30"/>
        </w:rPr>
      </w:pPr>
      <w:r>
        <w:rPr>
          <w:rFonts w:hint="eastAsia" w:ascii="黑体" w:hAnsi="黑体" w:eastAsia="黑体" w:cs="黑体"/>
          <w:b/>
          <w:bCs/>
          <w:color w:val="000000"/>
          <w:sz w:val="30"/>
          <w:szCs w:val="30"/>
        </w:rPr>
        <w:t>二、安徽省普通高校基本教学活动示范创建达标情况</w:t>
      </w:r>
    </w:p>
    <w:tbl>
      <w:tblPr>
        <w:tblStyle w:val="2"/>
        <w:tblW w:w="211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701"/>
        <w:gridCol w:w="11785"/>
        <w:gridCol w:w="1701"/>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pPr>
              <w:jc w:val="center"/>
              <w:rPr>
                <w:rFonts w:ascii="黑体" w:hAnsi="黑体" w:eastAsia="黑体" w:cs="Times New Roman"/>
                <w:color w:val="000000"/>
                <w:sz w:val="28"/>
                <w:szCs w:val="28"/>
              </w:rPr>
            </w:pPr>
            <w:r>
              <w:rPr>
                <w:rFonts w:hint="eastAsia" w:ascii="黑体" w:hAnsi="黑体" w:eastAsia="黑体" w:cs="黑体"/>
                <w:color w:val="000000"/>
                <w:sz w:val="28"/>
                <w:szCs w:val="28"/>
              </w:rPr>
              <w:t>指标</w:t>
            </w:r>
          </w:p>
        </w:tc>
        <w:tc>
          <w:tcPr>
            <w:tcW w:w="1701" w:type="dxa"/>
            <w:vAlign w:val="center"/>
          </w:tcPr>
          <w:p>
            <w:pPr>
              <w:jc w:val="center"/>
              <w:rPr>
                <w:rFonts w:ascii="黑体" w:hAnsi="黑体" w:eastAsia="黑体" w:cs="Times New Roman"/>
                <w:color w:val="000000"/>
                <w:sz w:val="28"/>
                <w:szCs w:val="28"/>
              </w:rPr>
            </w:pPr>
            <w:r>
              <w:rPr>
                <w:rFonts w:hint="eastAsia" w:ascii="黑体" w:hAnsi="黑体" w:eastAsia="黑体" w:cs="黑体"/>
                <w:color w:val="000000"/>
                <w:sz w:val="28"/>
                <w:szCs w:val="28"/>
              </w:rPr>
              <w:t>观测点</w:t>
            </w:r>
          </w:p>
        </w:tc>
        <w:tc>
          <w:tcPr>
            <w:tcW w:w="11785" w:type="dxa"/>
            <w:vAlign w:val="center"/>
          </w:tcPr>
          <w:p>
            <w:pPr>
              <w:jc w:val="center"/>
              <w:rPr>
                <w:rFonts w:ascii="黑体" w:hAnsi="黑体" w:eastAsia="黑体" w:cs="Times New Roman"/>
                <w:color w:val="000000"/>
                <w:sz w:val="28"/>
                <w:szCs w:val="28"/>
              </w:rPr>
            </w:pPr>
            <w:r>
              <w:rPr>
                <w:rFonts w:hint="eastAsia" w:ascii="黑体" w:hAnsi="黑体" w:eastAsia="黑体" w:cs="黑体"/>
                <w:color w:val="000000"/>
                <w:sz w:val="28"/>
                <w:szCs w:val="28"/>
              </w:rPr>
              <w:t>说</w:t>
            </w:r>
            <w:r>
              <w:rPr>
                <w:rFonts w:ascii="黑体" w:hAnsi="黑体" w:eastAsia="黑体" w:cs="黑体"/>
                <w:color w:val="000000"/>
                <w:sz w:val="28"/>
                <w:szCs w:val="28"/>
              </w:rPr>
              <w:t xml:space="preserve">    </w:t>
            </w:r>
            <w:r>
              <w:rPr>
                <w:rFonts w:hint="eastAsia" w:ascii="黑体" w:hAnsi="黑体" w:eastAsia="黑体" w:cs="黑体"/>
                <w:color w:val="000000"/>
                <w:sz w:val="28"/>
                <w:szCs w:val="28"/>
              </w:rPr>
              <w:t>明</w:t>
            </w:r>
          </w:p>
        </w:tc>
        <w:tc>
          <w:tcPr>
            <w:tcW w:w="1701" w:type="dxa"/>
            <w:vAlign w:val="center"/>
          </w:tcPr>
          <w:p>
            <w:pPr>
              <w:spacing w:line="432" w:lineRule="exact"/>
              <w:ind w:firstLine="21" w:firstLineChars="8"/>
              <w:jc w:val="center"/>
              <w:rPr>
                <w:rFonts w:ascii="黑体" w:hAnsi="黑体" w:eastAsia="黑体" w:cs="Times New Roman"/>
                <w:color w:val="000000"/>
                <w:sz w:val="28"/>
                <w:szCs w:val="28"/>
              </w:rPr>
            </w:pPr>
            <w:r>
              <w:rPr>
                <w:rFonts w:hint="eastAsia" w:ascii="黑体" w:hAnsi="黑体" w:eastAsia="黑体" w:cs="黑体"/>
                <w:color w:val="000000"/>
                <w:sz w:val="28"/>
                <w:szCs w:val="28"/>
              </w:rPr>
              <w:t>是否达标</w:t>
            </w:r>
          </w:p>
          <w:p>
            <w:pPr>
              <w:jc w:val="center"/>
              <w:rPr>
                <w:rFonts w:ascii="黑体" w:hAnsi="黑体" w:eastAsia="黑体" w:cs="Times New Roman"/>
                <w:color w:val="000000"/>
                <w:sz w:val="28"/>
                <w:szCs w:val="28"/>
              </w:rPr>
            </w:pPr>
            <w:r>
              <w:rPr>
                <w:rFonts w:hint="eastAsia" w:ascii="黑体" w:hAnsi="黑体" w:eastAsia="黑体" w:cs="黑体"/>
                <w:color w:val="000000"/>
                <w:sz w:val="28"/>
                <w:szCs w:val="28"/>
              </w:rPr>
              <w:t>（是／否）</w:t>
            </w:r>
          </w:p>
        </w:tc>
        <w:tc>
          <w:tcPr>
            <w:tcW w:w="4677" w:type="dxa"/>
            <w:vAlign w:val="center"/>
          </w:tcPr>
          <w:p>
            <w:pPr>
              <w:spacing w:line="432" w:lineRule="exact"/>
              <w:jc w:val="center"/>
              <w:rPr>
                <w:rFonts w:ascii="黑体" w:hAnsi="黑体" w:eastAsia="黑体" w:cs="Times New Roman"/>
                <w:color w:val="000000"/>
                <w:sz w:val="28"/>
                <w:szCs w:val="28"/>
              </w:rPr>
            </w:pPr>
            <w:r>
              <w:rPr>
                <w:rFonts w:hint="eastAsia" w:ascii="黑体" w:hAnsi="黑体" w:eastAsia="黑体" w:cs="黑体"/>
                <w:color w:val="000000"/>
                <w:sz w:val="28"/>
                <w:szCs w:val="28"/>
              </w:rPr>
              <w:t>量化指标说明及支撑材料目录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5" w:type="dxa"/>
            <w:gridSpan w:val="5"/>
            <w:vAlign w:val="center"/>
          </w:tcPr>
          <w:p>
            <w:pPr>
              <w:spacing w:line="432" w:lineRule="exact"/>
              <w:jc w:val="center"/>
              <w:rPr>
                <w:rFonts w:ascii="黑体" w:hAnsi="黑体" w:eastAsia="黑体" w:cs="Times New Roman"/>
                <w:color w:val="000000"/>
                <w:sz w:val="28"/>
                <w:szCs w:val="28"/>
              </w:rPr>
            </w:pPr>
            <w:r>
              <w:rPr>
                <w:rFonts w:hint="eastAsia" w:ascii="黑体" w:hAnsi="黑体" w:eastAsia="黑体" w:cs="黑体"/>
                <w:sz w:val="28"/>
                <w:szCs w:val="28"/>
              </w:rPr>
              <w:t>（在符合标准化的基础上，满足示范标准中“教学目标”和“教学研究”指标中的标准，并达到“教学方式”指标中的一项标准者，可以申请创建教学示范课）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Merge w:val="restart"/>
            <w:vAlign w:val="center"/>
          </w:tcPr>
          <w:p>
            <w:pPr>
              <w:spacing w:line="460" w:lineRule="exact"/>
              <w:jc w:val="center"/>
              <w:rPr>
                <w:rFonts w:ascii="黑体" w:hAnsi="黑体" w:eastAsia="黑体" w:cs="Times New Roman"/>
                <w:b/>
                <w:bCs/>
                <w:color w:val="000000"/>
                <w:sz w:val="24"/>
                <w:szCs w:val="24"/>
              </w:rPr>
            </w:pPr>
            <w:r>
              <w:rPr>
                <w:rFonts w:hint="eastAsia" w:ascii="黑体" w:hAnsi="黑体" w:eastAsia="黑体" w:cs="黑体"/>
                <w:b/>
                <w:bCs/>
                <w:color w:val="000000"/>
                <w:sz w:val="24"/>
                <w:szCs w:val="24"/>
              </w:rPr>
              <w:t>教学目标</w:t>
            </w:r>
          </w:p>
        </w:tc>
        <w:tc>
          <w:tcPr>
            <w:tcW w:w="1701" w:type="dxa"/>
            <w:vAlign w:val="center"/>
          </w:tcPr>
          <w:p>
            <w:pPr>
              <w:spacing w:line="46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因材施教</w:t>
            </w:r>
          </w:p>
        </w:tc>
        <w:tc>
          <w:tcPr>
            <w:tcW w:w="11785" w:type="dxa"/>
          </w:tcPr>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坚持以学生为中心的教学理念，根据教学活动的内容，悉心研究教学对象，了解学生的有关情况，注重因材施教，合理组织教学内容，选用科学有效的教学方式和方法，力求做到教学内容与方法的优化组合。</w:t>
            </w:r>
          </w:p>
        </w:tc>
        <w:tc>
          <w:tcPr>
            <w:tcW w:w="1701" w:type="dxa"/>
            <w:vAlign w:val="center"/>
          </w:tcPr>
          <w:p>
            <w:pPr>
              <w:tabs>
                <w:tab w:val="left" w:pos="4544"/>
              </w:tabs>
              <w:spacing w:line="460" w:lineRule="exact"/>
              <w:ind w:firstLine="28" w:firstLineChars="11"/>
              <w:jc w:val="center"/>
              <w:rPr>
                <w:rFonts w:ascii="仿宋" w:hAnsi="仿宋" w:eastAsia="仿宋" w:cs="Times New Roman"/>
                <w:color w:val="000000"/>
                <w:sz w:val="28"/>
                <w:szCs w:val="28"/>
              </w:rPr>
            </w:pPr>
          </w:p>
        </w:tc>
        <w:tc>
          <w:tcPr>
            <w:tcW w:w="4677" w:type="dxa"/>
          </w:tcPr>
          <w:p>
            <w:pPr>
              <w:tabs>
                <w:tab w:val="left" w:pos="4544"/>
              </w:tabs>
              <w:spacing w:line="460" w:lineRule="exact"/>
              <w:ind w:firstLine="520"/>
              <w:jc w:val="left"/>
              <w:rPr>
                <w:rFonts w:ascii="仿宋" w:hAnsi="仿宋"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Merge w:val="continue"/>
            <w:vAlign w:val="center"/>
          </w:tcPr>
          <w:p>
            <w:pPr>
              <w:spacing w:line="460" w:lineRule="exact"/>
              <w:jc w:val="center"/>
              <w:rPr>
                <w:rFonts w:ascii="黑体" w:hAnsi="黑体" w:eastAsia="黑体" w:cs="Times New Roman"/>
                <w:b/>
                <w:bCs/>
                <w:color w:val="000000"/>
                <w:sz w:val="24"/>
                <w:szCs w:val="24"/>
              </w:rPr>
            </w:pPr>
          </w:p>
        </w:tc>
        <w:tc>
          <w:tcPr>
            <w:tcW w:w="1701" w:type="dxa"/>
            <w:vAlign w:val="center"/>
          </w:tcPr>
          <w:p>
            <w:pPr>
              <w:spacing w:line="46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着力培养学生能力</w:t>
            </w:r>
          </w:p>
        </w:tc>
        <w:tc>
          <w:tcPr>
            <w:tcW w:w="11785" w:type="dxa"/>
          </w:tcPr>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注意教学活动与其它相关教学活动内容的衔接和配合，重视授课效果的信息反馈，在教学中精益求精，突出重点，处理好难点，着力培养学生的自学能力，实践能力和创新能力。</w:t>
            </w:r>
          </w:p>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在实验教学中注重开发综合性、设计性实验，加强对学生的综合应用能力和动手能力的培养。</w:t>
            </w:r>
          </w:p>
        </w:tc>
        <w:tc>
          <w:tcPr>
            <w:tcW w:w="1701" w:type="dxa"/>
            <w:vAlign w:val="center"/>
          </w:tcPr>
          <w:p>
            <w:pPr>
              <w:tabs>
                <w:tab w:val="left" w:pos="4544"/>
              </w:tabs>
              <w:spacing w:line="460" w:lineRule="exact"/>
              <w:ind w:firstLine="28" w:firstLineChars="11"/>
              <w:jc w:val="center"/>
              <w:rPr>
                <w:rFonts w:ascii="仿宋" w:hAnsi="仿宋" w:eastAsia="仿宋" w:cs="Times New Roman"/>
                <w:color w:val="000000"/>
                <w:sz w:val="28"/>
                <w:szCs w:val="28"/>
              </w:rPr>
            </w:pPr>
          </w:p>
        </w:tc>
        <w:tc>
          <w:tcPr>
            <w:tcW w:w="4677" w:type="dxa"/>
          </w:tcPr>
          <w:p>
            <w:pPr>
              <w:tabs>
                <w:tab w:val="left" w:pos="4544"/>
              </w:tabs>
              <w:spacing w:line="460" w:lineRule="exact"/>
              <w:ind w:firstLine="520"/>
              <w:jc w:val="left"/>
              <w:rPr>
                <w:rFonts w:ascii="仿宋" w:hAnsi="仿宋"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Merge w:val="restart"/>
            <w:vAlign w:val="center"/>
          </w:tcPr>
          <w:p>
            <w:pPr>
              <w:spacing w:line="460" w:lineRule="exact"/>
              <w:jc w:val="center"/>
              <w:rPr>
                <w:rFonts w:ascii="黑体" w:hAnsi="黑体" w:eastAsia="黑体" w:cs="Times New Roman"/>
                <w:b/>
                <w:bCs/>
                <w:color w:val="000000"/>
                <w:sz w:val="24"/>
                <w:szCs w:val="24"/>
              </w:rPr>
            </w:pPr>
            <w:r>
              <w:rPr>
                <w:rFonts w:hint="eastAsia" w:ascii="黑体" w:hAnsi="黑体" w:eastAsia="黑体" w:cs="黑体"/>
                <w:b/>
                <w:bCs/>
                <w:color w:val="000000"/>
                <w:sz w:val="24"/>
                <w:szCs w:val="24"/>
              </w:rPr>
              <w:t>教学方式</w:t>
            </w:r>
          </w:p>
        </w:tc>
        <w:tc>
          <w:tcPr>
            <w:tcW w:w="1701" w:type="dxa"/>
            <w:vAlign w:val="center"/>
          </w:tcPr>
          <w:p>
            <w:pPr>
              <w:spacing w:line="46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启发式教学</w:t>
            </w:r>
          </w:p>
        </w:tc>
        <w:tc>
          <w:tcPr>
            <w:tcW w:w="11785" w:type="dxa"/>
          </w:tcPr>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在教学活动中加强互动环节设计，采用启发式教学，融入问题引导、创设情境、师生研讨等多种启发式教学方法，引导学生积极思维，调动学生参与课堂教学的广度和深度，激发学生保持良好的听课状态，力求使教与学两方面协调一致、共同发展。</w:t>
            </w:r>
          </w:p>
          <w:p>
            <w:pPr>
              <w:tabs>
                <w:tab w:val="left" w:pos="4544"/>
              </w:tabs>
              <w:spacing w:line="460" w:lineRule="exact"/>
              <w:ind w:firstLine="520"/>
              <w:jc w:val="left"/>
              <w:rPr>
                <w:rFonts w:ascii="仿宋" w:hAnsi="仿宋" w:eastAsia="仿宋" w:cs="Times New Roman"/>
                <w:b/>
                <w:bCs/>
                <w:i/>
                <w:iCs/>
                <w:color w:val="FF0000"/>
                <w:sz w:val="28"/>
                <w:szCs w:val="28"/>
              </w:rPr>
            </w:pPr>
            <w:r>
              <w:rPr>
                <w:rFonts w:hint="eastAsia" w:ascii="仿宋" w:hAnsi="仿宋" w:eastAsia="仿宋" w:cs="仿宋"/>
                <w:color w:val="000000"/>
                <w:sz w:val="28"/>
                <w:szCs w:val="28"/>
              </w:rPr>
              <w:t>课堂教学中的互动时间不低于总课程学时的</w:t>
            </w:r>
            <w:r>
              <w:rPr>
                <w:rFonts w:ascii="仿宋" w:hAnsi="仿宋" w:eastAsia="仿宋" w:cs="仿宋"/>
                <w:color w:val="000000"/>
                <w:sz w:val="28"/>
                <w:szCs w:val="28"/>
              </w:rPr>
              <w:t>1/3</w:t>
            </w:r>
            <w:r>
              <w:rPr>
                <w:rFonts w:hint="eastAsia" w:ascii="仿宋" w:hAnsi="仿宋" w:eastAsia="仿宋" w:cs="仿宋"/>
                <w:color w:val="000000"/>
                <w:sz w:val="28"/>
                <w:szCs w:val="28"/>
              </w:rPr>
              <w:t>，其中学生主动参与时间占互动时间不低于</w:t>
            </w:r>
            <w:r>
              <w:rPr>
                <w:rFonts w:ascii="仿宋" w:hAnsi="仿宋" w:eastAsia="仿宋" w:cs="仿宋"/>
                <w:color w:val="000000"/>
                <w:sz w:val="28"/>
                <w:szCs w:val="28"/>
              </w:rPr>
              <w:t>1/2</w:t>
            </w:r>
            <w:r>
              <w:rPr>
                <w:rFonts w:hint="eastAsia" w:ascii="仿宋" w:hAnsi="仿宋" w:eastAsia="仿宋" w:cs="仿宋"/>
                <w:color w:val="000000"/>
                <w:sz w:val="28"/>
                <w:szCs w:val="28"/>
              </w:rPr>
              <w:t>。</w:t>
            </w:r>
          </w:p>
        </w:tc>
        <w:tc>
          <w:tcPr>
            <w:tcW w:w="1701" w:type="dxa"/>
            <w:vAlign w:val="center"/>
          </w:tcPr>
          <w:p>
            <w:pPr>
              <w:tabs>
                <w:tab w:val="left" w:pos="4544"/>
              </w:tabs>
              <w:spacing w:line="460" w:lineRule="exact"/>
              <w:ind w:firstLine="28" w:firstLineChars="11"/>
              <w:jc w:val="center"/>
              <w:rPr>
                <w:rFonts w:ascii="仿宋" w:hAnsi="仿宋" w:eastAsia="仿宋" w:cs="Times New Roman"/>
                <w:color w:val="000000"/>
                <w:sz w:val="28"/>
                <w:szCs w:val="28"/>
              </w:rPr>
            </w:pPr>
          </w:p>
        </w:tc>
        <w:tc>
          <w:tcPr>
            <w:tcW w:w="4677" w:type="dxa"/>
          </w:tcPr>
          <w:p>
            <w:pPr>
              <w:tabs>
                <w:tab w:val="left" w:pos="4544"/>
              </w:tabs>
              <w:spacing w:line="460" w:lineRule="exact"/>
              <w:ind w:firstLine="520"/>
              <w:jc w:val="left"/>
              <w:rPr>
                <w:rFonts w:ascii="仿宋" w:hAnsi="仿宋"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Merge w:val="continue"/>
            <w:vAlign w:val="center"/>
          </w:tcPr>
          <w:p>
            <w:pPr>
              <w:spacing w:line="460" w:lineRule="exact"/>
              <w:jc w:val="center"/>
              <w:rPr>
                <w:rFonts w:ascii="黑体" w:hAnsi="黑体" w:eastAsia="黑体" w:cs="Times New Roman"/>
                <w:b/>
                <w:bCs/>
                <w:color w:val="000000"/>
                <w:sz w:val="24"/>
                <w:szCs w:val="24"/>
              </w:rPr>
            </w:pPr>
          </w:p>
        </w:tc>
        <w:tc>
          <w:tcPr>
            <w:tcW w:w="1701" w:type="dxa"/>
            <w:vAlign w:val="center"/>
          </w:tcPr>
          <w:p>
            <w:pPr>
              <w:spacing w:line="46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信息化教学</w:t>
            </w:r>
          </w:p>
        </w:tc>
        <w:tc>
          <w:tcPr>
            <w:tcW w:w="11785" w:type="dxa"/>
          </w:tcPr>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在教学中充分利用现代信息技术和信息资源，开发课件、视频、教学软件等教学资源，充分运用网络教学平台，优化教学过程，科学地安排教学的各个环节和要素，创新教学模式和教学方法，提高学生的学习兴趣，支持学生的自主探究学习，提高教学质量和效率。</w:t>
            </w:r>
          </w:p>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信息化教学应依托网络教学平台，在平台上具有完整教学资源（课程简介、教师队伍、教学大纲、授课教案、作业习题、资料库等），以及教学环节数据（学生利用网络教学平台学习课程相关资源的线上学习数据，包括签到、讨论等课堂教学过程中的互动教学数据，学生提供的课外阅读、课程作业等课后学习反馈数据）。</w:t>
            </w:r>
          </w:p>
        </w:tc>
        <w:tc>
          <w:tcPr>
            <w:tcW w:w="1701" w:type="dxa"/>
            <w:vAlign w:val="center"/>
          </w:tcPr>
          <w:p>
            <w:pPr>
              <w:tabs>
                <w:tab w:val="left" w:pos="4544"/>
              </w:tabs>
              <w:spacing w:line="460" w:lineRule="exact"/>
              <w:ind w:firstLine="28" w:firstLineChars="11"/>
              <w:jc w:val="center"/>
              <w:rPr>
                <w:rFonts w:ascii="仿宋" w:hAnsi="仿宋" w:eastAsia="仿宋" w:cs="Times New Roman"/>
                <w:color w:val="000000"/>
                <w:sz w:val="28"/>
                <w:szCs w:val="28"/>
              </w:rPr>
            </w:pPr>
          </w:p>
        </w:tc>
        <w:tc>
          <w:tcPr>
            <w:tcW w:w="4677" w:type="dxa"/>
          </w:tcPr>
          <w:p>
            <w:pPr>
              <w:tabs>
                <w:tab w:val="left" w:pos="4544"/>
              </w:tabs>
              <w:spacing w:line="460" w:lineRule="exact"/>
              <w:ind w:firstLine="520"/>
              <w:jc w:val="left"/>
              <w:rPr>
                <w:rFonts w:ascii="仿宋" w:hAnsi="仿宋"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Merge w:val="continue"/>
            <w:vAlign w:val="center"/>
          </w:tcPr>
          <w:p>
            <w:pPr>
              <w:spacing w:line="460" w:lineRule="exact"/>
              <w:jc w:val="center"/>
              <w:rPr>
                <w:rFonts w:ascii="黑体" w:hAnsi="黑体" w:eastAsia="黑体" w:cs="Times New Roman"/>
                <w:b/>
                <w:bCs/>
                <w:color w:val="000000"/>
                <w:sz w:val="24"/>
                <w:szCs w:val="24"/>
              </w:rPr>
            </w:pPr>
          </w:p>
        </w:tc>
        <w:tc>
          <w:tcPr>
            <w:tcW w:w="1701" w:type="dxa"/>
            <w:vAlign w:val="center"/>
          </w:tcPr>
          <w:p>
            <w:pPr>
              <w:spacing w:line="460" w:lineRule="exact"/>
              <w:jc w:val="center"/>
              <w:rPr>
                <w:rFonts w:ascii="黑体" w:hAnsi="黑体" w:eastAsia="黑体" w:cs="Times New Roman"/>
                <w:color w:val="FF0000"/>
                <w:sz w:val="24"/>
                <w:szCs w:val="24"/>
              </w:rPr>
            </w:pPr>
            <w:r>
              <w:rPr>
                <w:rFonts w:hint="eastAsia" w:ascii="黑体" w:hAnsi="黑体" w:eastAsia="黑体" w:cs="黑体"/>
                <w:color w:val="000000"/>
                <w:sz w:val="24"/>
                <w:szCs w:val="24"/>
              </w:rPr>
              <w:t>多元化结合</w:t>
            </w:r>
          </w:p>
        </w:tc>
        <w:tc>
          <w:tcPr>
            <w:tcW w:w="11785" w:type="dxa"/>
          </w:tcPr>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突破传统教学模式，根据教学内容开展多种教学方式、教学环节的互动结合。</w:t>
            </w:r>
          </w:p>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课堂教学与课后辅导（答疑）结合。在课后有计划、有准备地进行阶段性辅导，在辅导答疑的过程中，既热情帮助基础较差的学生，又注意发现与培养优秀的学生。阶段性辅导在整个课程教学过程中应不少于</w:t>
            </w:r>
            <w:r>
              <w:rPr>
                <w:rFonts w:ascii="仿宋" w:hAnsi="仿宋" w:eastAsia="仿宋" w:cs="仿宋"/>
                <w:color w:val="000000"/>
                <w:sz w:val="28"/>
                <w:szCs w:val="28"/>
              </w:rPr>
              <w:t>3</w:t>
            </w:r>
            <w:r>
              <w:rPr>
                <w:rFonts w:hint="eastAsia" w:ascii="仿宋" w:hAnsi="仿宋" w:eastAsia="仿宋" w:cs="仿宋"/>
                <w:color w:val="000000"/>
                <w:sz w:val="28"/>
                <w:szCs w:val="28"/>
              </w:rPr>
              <w:t>次，课后辅导答疑应有完备的记录。</w:t>
            </w:r>
          </w:p>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课堂教学与课后练习结合。配合授课进度精选作业，培养学生分析解决问题的能力和独立钻研的精神，汇总并分析学生作业中出现的问题，有针对性地给予指导，改进教学。教师应具有学生课后作业共性问题的分析记录和相应的教学改进措施。</w:t>
            </w:r>
          </w:p>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课堂教学与实践教学结合。在教学过程中注重学生知识应用能力的培养，讲课内容结合知识的实际应用场景，加深学生对理论知识的认识。教师在课程教学过程中应有</w:t>
            </w:r>
            <w:r>
              <w:rPr>
                <w:rFonts w:ascii="仿宋" w:hAnsi="仿宋" w:eastAsia="仿宋" w:cs="仿宋"/>
                <w:color w:val="000000"/>
                <w:sz w:val="28"/>
                <w:szCs w:val="28"/>
              </w:rPr>
              <w:t>1/4</w:t>
            </w:r>
            <w:r>
              <w:rPr>
                <w:rFonts w:hint="eastAsia" w:ascii="仿宋" w:hAnsi="仿宋" w:eastAsia="仿宋" w:cs="仿宋"/>
                <w:color w:val="000000"/>
                <w:sz w:val="28"/>
                <w:szCs w:val="28"/>
              </w:rPr>
              <w:t>以上的学时用于模拟实际应用场景授课，提高学生将知识应用于实践的能力。</w:t>
            </w:r>
          </w:p>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课堂教学与创新创业教育结合。在传授专业知识的过程中融入创新创业教育，全面促进创新创业教育与专业教育深度融合，教师应以训练学生创新能力为目的，探索头脑风暴法、分组讨论法、角色扮演法、案例分析法、情景模拟法、游戏体验法等教学方法改革，培养学生的发散思维、批判性思维、洞察力、决策力、组织协调能力与领导力等各项创新创业素质。</w:t>
            </w:r>
          </w:p>
        </w:tc>
        <w:tc>
          <w:tcPr>
            <w:tcW w:w="1701" w:type="dxa"/>
            <w:vAlign w:val="center"/>
          </w:tcPr>
          <w:p>
            <w:pPr>
              <w:tabs>
                <w:tab w:val="left" w:pos="4544"/>
              </w:tabs>
              <w:spacing w:line="460" w:lineRule="exact"/>
              <w:ind w:firstLine="28" w:firstLineChars="11"/>
              <w:jc w:val="center"/>
              <w:rPr>
                <w:rFonts w:ascii="仿宋" w:hAnsi="仿宋" w:eastAsia="仿宋" w:cs="Times New Roman"/>
                <w:color w:val="000000"/>
                <w:sz w:val="28"/>
                <w:szCs w:val="28"/>
              </w:rPr>
            </w:pPr>
          </w:p>
        </w:tc>
        <w:tc>
          <w:tcPr>
            <w:tcW w:w="4677" w:type="dxa"/>
          </w:tcPr>
          <w:p>
            <w:pPr>
              <w:tabs>
                <w:tab w:val="left" w:pos="4544"/>
              </w:tabs>
              <w:spacing w:line="460" w:lineRule="exact"/>
              <w:ind w:firstLine="520"/>
              <w:jc w:val="left"/>
              <w:rPr>
                <w:rFonts w:ascii="仿宋" w:hAnsi="仿宋"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Merge w:val="restart"/>
            <w:vAlign w:val="center"/>
          </w:tcPr>
          <w:p>
            <w:pPr>
              <w:spacing w:line="460" w:lineRule="exact"/>
              <w:jc w:val="center"/>
              <w:rPr>
                <w:rFonts w:ascii="黑体" w:hAnsi="黑体" w:eastAsia="黑体" w:cs="Times New Roman"/>
                <w:b/>
                <w:bCs/>
                <w:color w:val="000000"/>
                <w:sz w:val="24"/>
                <w:szCs w:val="24"/>
              </w:rPr>
            </w:pPr>
            <w:r>
              <w:rPr>
                <w:rFonts w:hint="eastAsia" w:ascii="黑体" w:hAnsi="黑体" w:eastAsia="黑体" w:cs="黑体"/>
                <w:b/>
                <w:bCs/>
                <w:color w:val="000000"/>
                <w:sz w:val="24"/>
                <w:szCs w:val="24"/>
              </w:rPr>
              <w:t>教学研究</w:t>
            </w:r>
          </w:p>
        </w:tc>
        <w:tc>
          <w:tcPr>
            <w:tcW w:w="1701" w:type="dxa"/>
            <w:vAlign w:val="center"/>
          </w:tcPr>
          <w:p>
            <w:pPr>
              <w:spacing w:line="46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教学改革研究</w:t>
            </w:r>
          </w:p>
        </w:tc>
        <w:tc>
          <w:tcPr>
            <w:tcW w:w="11785" w:type="dxa"/>
          </w:tcPr>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积极参与教学改革，重视教学研究，不断提高学术水平和业务水平。在保证完成教学大纲规定的教学内容的前提下，推进课程思政，推进课程融合，把最新相关研究成果融入课堂教学之中。应具有与所授课程相关的校级以上教学改革研究立项项目。</w:t>
            </w:r>
          </w:p>
        </w:tc>
        <w:tc>
          <w:tcPr>
            <w:tcW w:w="1701" w:type="dxa"/>
            <w:vAlign w:val="center"/>
          </w:tcPr>
          <w:p>
            <w:pPr>
              <w:tabs>
                <w:tab w:val="left" w:pos="4544"/>
              </w:tabs>
              <w:spacing w:line="460" w:lineRule="exact"/>
              <w:ind w:firstLine="28" w:firstLineChars="11"/>
              <w:jc w:val="center"/>
              <w:rPr>
                <w:rFonts w:ascii="仿宋" w:hAnsi="仿宋" w:eastAsia="仿宋" w:cs="Times New Roman"/>
                <w:color w:val="000000"/>
                <w:sz w:val="28"/>
                <w:szCs w:val="28"/>
              </w:rPr>
            </w:pPr>
          </w:p>
        </w:tc>
        <w:tc>
          <w:tcPr>
            <w:tcW w:w="4677" w:type="dxa"/>
          </w:tcPr>
          <w:p>
            <w:pPr>
              <w:tabs>
                <w:tab w:val="left" w:pos="4544"/>
              </w:tabs>
              <w:spacing w:line="460" w:lineRule="exact"/>
              <w:ind w:firstLine="520"/>
              <w:jc w:val="left"/>
              <w:rPr>
                <w:rFonts w:ascii="仿宋" w:hAnsi="仿宋"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Merge w:val="continue"/>
            <w:vAlign w:val="center"/>
          </w:tcPr>
          <w:p>
            <w:pPr>
              <w:spacing w:line="460" w:lineRule="exact"/>
              <w:jc w:val="center"/>
              <w:rPr>
                <w:rFonts w:ascii="黑体" w:hAnsi="黑体" w:eastAsia="黑体" w:cs="Times New Roman"/>
                <w:b/>
                <w:bCs/>
                <w:color w:val="000000"/>
                <w:sz w:val="24"/>
                <w:szCs w:val="24"/>
              </w:rPr>
            </w:pPr>
          </w:p>
        </w:tc>
        <w:tc>
          <w:tcPr>
            <w:tcW w:w="1701" w:type="dxa"/>
            <w:vAlign w:val="center"/>
          </w:tcPr>
          <w:p>
            <w:pPr>
              <w:spacing w:line="46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教学活动总结</w:t>
            </w:r>
          </w:p>
        </w:tc>
        <w:tc>
          <w:tcPr>
            <w:tcW w:w="11785" w:type="dxa"/>
          </w:tcPr>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教学活动结束后，做好教学文件的收集整理，认真总结教学情况，分析学生学习情况，研究各教学环节的配合，反思整个教学安排，总结教学过程中的经验教训，提出改进办法和完善建议。应具有所授课程的教学总结材料，以及</w:t>
            </w:r>
            <w:r>
              <w:rPr>
                <w:rFonts w:ascii="仿宋" w:hAnsi="仿宋" w:eastAsia="仿宋" w:cs="仿宋"/>
                <w:color w:val="000000"/>
                <w:sz w:val="28"/>
                <w:szCs w:val="28"/>
              </w:rPr>
              <w:t>1</w:t>
            </w:r>
            <w:r>
              <w:rPr>
                <w:rFonts w:hint="eastAsia" w:ascii="仿宋" w:hAnsi="仿宋" w:eastAsia="仿宋" w:cs="仿宋"/>
                <w:color w:val="000000"/>
                <w:sz w:val="28"/>
                <w:szCs w:val="28"/>
              </w:rPr>
              <w:t>篇与所授课程相关的公开发表教研论文。</w:t>
            </w:r>
          </w:p>
        </w:tc>
        <w:tc>
          <w:tcPr>
            <w:tcW w:w="1701" w:type="dxa"/>
            <w:vAlign w:val="center"/>
          </w:tcPr>
          <w:p>
            <w:pPr>
              <w:tabs>
                <w:tab w:val="left" w:pos="4544"/>
              </w:tabs>
              <w:spacing w:line="460" w:lineRule="exact"/>
              <w:ind w:firstLine="28" w:firstLineChars="11"/>
              <w:jc w:val="center"/>
              <w:rPr>
                <w:rFonts w:ascii="仿宋" w:hAnsi="仿宋" w:eastAsia="仿宋" w:cs="Times New Roman"/>
                <w:color w:val="000000"/>
                <w:sz w:val="28"/>
                <w:szCs w:val="28"/>
              </w:rPr>
            </w:pPr>
          </w:p>
        </w:tc>
        <w:tc>
          <w:tcPr>
            <w:tcW w:w="4677" w:type="dxa"/>
          </w:tcPr>
          <w:p>
            <w:pPr>
              <w:tabs>
                <w:tab w:val="left" w:pos="4544"/>
              </w:tabs>
              <w:spacing w:line="460" w:lineRule="exact"/>
              <w:ind w:firstLine="520"/>
              <w:jc w:val="left"/>
              <w:rPr>
                <w:rFonts w:ascii="仿宋" w:hAnsi="仿宋" w:eastAsia="仿宋" w:cs="Times New Roman"/>
                <w:color w:val="000000"/>
                <w:sz w:val="28"/>
                <w:szCs w:val="28"/>
              </w:rPr>
            </w:pPr>
          </w:p>
        </w:tc>
      </w:tr>
    </w:tbl>
    <w:p>
      <w:pPr>
        <w:spacing w:line="480" w:lineRule="exact"/>
        <w:rPr>
          <w:rFonts w:cs="Times New Roman"/>
          <w:color w:val="000000"/>
        </w:rPr>
      </w:pPr>
    </w:p>
    <w:sectPr>
      <w:pgSz w:w="23757" w:h="16783" w:orient="landscape"/>
      <w:pgMar w:top="1134" w:right="1191" w:bottom="1191" w:left="1191" w:header="851" w:footer="992" w:gutter="0"/>
      <w:cols w:space="720" w:num="1"/>
      <w:docGrid w:type="linesAndChars" w:linePitch="290" w:charSpace="-40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roman"/>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10" w:usb3="00000000" w:csb0="00040000" w:csb1="00000000"/>
  </w:font>
  <w:font w:name="FangSong_GB2312">
    <w:altName w:val="仿宋"/>
    <w:panose1 w:val="02010609060101010101"/>
    <w:charset w:val="00"/>
    <w:family w:val="modern"/>
    <w:pitch w:val="default"/>
    <w:sig w:usb0="00000000" w:usb1="00000000" w:usb2="00000000" w:usb3="00000000" w:csb0="00000001" w:csb1="00000000"/>
  </w:font>
  <w:font w:name="Heiti SC Medium">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A5E"/>
    <w:rsid w:val="00013A5E"/>
    <w:rsid w:val="001C7393"/>
    <w:rsid w:val="00222A00"/>
    <w:rsid w:val="00301E73"/>
    <w:rsid w:val="00644438"/>
    <w:rsid w:val="009E7D01"/>
    <w:rsid w:val="00A13EAF"/>
    <w:rsid w:val="00A52711"/>
    <w:rsid w:val="00AA04EE"/>
    <w:rsid w:val="00B62E14"/>
    <w:rsid w:val="00BC23F5"/>
    <w:rsid w:val="00CA2B96"/>
    <w:rsid w:val="00CE3668"/>
    <w:rsid w:val="00D078BA"/>
    <w:rsid w:val="00D61B15"/>
    <w:rsid w:val="00EF21CC"/>
    <w:rsid w:val="00EF7D52"/>
    <w:rsid w:val="098B5B79"/>
    <w:rsid w:val="0D3527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608</Words>
  <Characters>3469</Characters>
  <Lines>0</Lines>
  <Paragraphs>0</Paragraphs>
  <TotalTime>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2020-08-05T03:09:00Z</dcterms:created>
  <dc:creator>Microsoft Office 用户</dc:creator>
  <cp:lastModifiedBy>五月</cp:lastModifiedBy>
  <cp:lastPrinted>2020-08-18T08:19:00Z</cp:lastPrinted>
  <dcterms:modified xsi:type="dcterms:W3CDTF">2020-08-24T02:14:00Z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