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附件2：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皖南医学院教学成就奖推荐表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4"/>
        <w:tblW w:w="7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  <w:t>候    选    人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楷体_GB2312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exact"/>
          <w:jc w:val="center"/>
        </w:trPr>
        <w:tc>
          <w:tcPr>
            <w:tcW w:w="30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  <w:t>奖  励  类  别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楷体_GB2312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  <w:jc w:val="center"/>
        </w:trPr>
        <w:tc>
          <w:tcPr>
            <w:tcW w:w="30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  <w:t>推荐单位（盖章）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楷体_GB2312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  <w:jc w:val="center"/>
        </w:trPr>
        <w:tc>
          <w:tcPr>
            <w:tcW w:w="30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30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  <w:t>填  表  时  间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b/>
                <w:bCs/>
                <w:sz w:val="30"/>
                <w:szCs w:val="30"/>
              </w:rPr>
              <w:t xml:space="preserve">   年   月   日</w:t>
            </w:r>
          </w:p>
        </w:tc>
      </w:tr>
    </w:tbl>
    <w:p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教务处制</w:t>
      </w:r>
    </w:p>
    <w:p>
      <w:pPr>
        <w:ind w:firstLine="555"/>
        <w:jc w:val="center"/>
        <w:rPr>
          <w:rFonts w:eastAsia="仿宋_GB2312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sz w:val="30"/>
          <w:szCs w:val="30"/>
        </w:rPr>
      </w:pPr>
    </w:p>
    <w:p>
      <w:pPr>
        <w:spacing w:before="156" w:beforeLines="50" w:after="156" w:afterLines="50" w:line="360" w:lineRule="auto"/>
        <w:ind w:left="450" w:hanging="450" w:hangingChars="1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>1. 本表打印</w:t>
      </w:r>
      <w:r>
        <w:rPr>
          <w:rFonts w:hint="eastAsia"/>
          <w:bCs/>
          <w:sz w:val="30"/>
          <w:szCs w:val="30"/>
        </w:rPr>
        <w:t>或手写。手写一律用蓝黑或黑色水笔填写，内容要具体、真实，字迹端正、清楚，不得涂改。</w:t>
      </w:r>
    </w:p>
    <w:p>
      <w:pPr>
        <w:spacing w:before="156" w:beforeLines="50" w:after="156" w:afterLines="50" w:line="360" w:lineRule="auto"/>
        <w:ind w:left="450" w:hanging="450" w:hangingChars="1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2. 候选人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>
      <w:pPr>
        <w:spacing w:before="156" w:beforeLines="50" w:after="156" w:afterLines="50" w:line="360" w:lineRule="auto"/>
        <w:ind w:left="450" w:right="21" w:rightChars="10" w:hanging="450" w:hangingChars="1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奖励类别为教学终身成就奖、教学卓越奖和青年教学标兵奖。</w:t>
      </w:r>
    </w:p>
    <w:p>
      <w:pPr>
        <w:spacing w:before="156" w:beforeLines="50" w:after="156" w:afterLines="50" w:line="360" w:lineRule="auto"/>
        <w:ind w:left="450" w:hanging="450" w:hangingChars="1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bCs/>
          <w:sz w:val="30"/>
          <w:szCs w:val="30"/>
        </w:rPr>
        <w:t>如表格篇幅不够，可另附纸。</w:t>
      </w:r>
    </w:p>
    <w:p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一、候选人基本情况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71"/>
        <w:gridCol w:w="1436"/>
        <w:gridCol w:w="899"/>
        <w:gridCol w:w="605"/>
        <w:gridCol w:w="655"/>
        <w:gridCol w:w="542"/>
        <w:gridCol w:w="901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70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最后学历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（学位）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05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64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</w:t>
            </w:r>
            <w:r>
              <w:rPr>
                <w:rFonts w:ascii="宋体" w:hAnsi="宋体"/>
                <w:sz w:val="24"/>
                <w:szCs w:val="24"/>
              </w:rPr>
              <w:t>校教龄</w:t>
            </w:r>
          </w:p>
        </w:tc>
        <w:tc>
          <w:tcPr>
            <w:tcW w:w="15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专业技术职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164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5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64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155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学习/工作单位</w:t>
            </w: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3" w:type="pct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3" w:type="pct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3" w:type="pct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3" w:type="pct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3" w:type="pct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3" w:type="pct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3" w:type="pct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3" w:type="pct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3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二、候选人教学工作情况</w:t>
      </w:r>
    </w:p>
    <w:p>
      <w:pPr>
        <w:spacing w:line="338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（一）授课</w:t>
      </w:r>
      <w:r>
        <w:rPr>
          <w:rFonts w:ascii="宋体" w:hAnsi="宋体"/>
          <w:b/>
          <w:sz w:val="32"/>
          <w:szCs w:val="32"/>
        </w:rPr>
        <w:t>情况</w:t>
      </w:r>
    </w:p>
    <w:tbl>
      <w:tblPr>
        <w:tblStyle w:val="4"/>
        <w:tblW w:w="47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190"/>
        <w:gridCol w:w="1218"/>
        <w:gridCol w:w="1793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338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讲授</w:t>
            </w:r>
            <w:r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744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学生人数</w:t>
            </w:r>
          </w:p>
        </w:tc>
        <w:tc>
          <w:tcPr>
            <w:tcW w:w="1095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总学时数</w:t>
            </w:r>
          </w:p>
        </w:tc>
        <w:tc>
          <w:tcPr>
            <w:tcW w:w="756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pct"/>
            <w:shd w:val="clear" w:color="auto" w:fill="auto"/>
            <w:vAlign w:val="center"/>
          </w:tcPr>
          <w:p>
            <w:pPr>
              <w:spacing w:line="400" w:lineRule="atLeast"/>
              <w:rPr>
                <w:rFonts w:hint="eastAsia"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示例</w:t>
            </w:r>
          </w:p>
          <w:p>
            <w:pPr>
              <w:spacing w:line="400" w:lineRule="atLeast"/>
              <w:rPr>
                <w:rFonts w:hint="eastAsia"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eastAsia="仿宋_GB2312"/>
                <w:color w:val="FF0000"/>
                <w:sz w:val="18"/>
                <w:szCs w:val="18"/>
              </w:rPr>
              <w:t>2012/2013-1学期</w:t>
            </w:r>
          </w:p>
          <w:p>
            <w:pPr>
              <w:spacing w:line="40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8" w:type="pct"/>
            <w:shd w:val="clear" w:color="auto" w:fill="auto"/>
          </w:tcPr>
          <w:p>
            <w:pPr>
              <w:spacing w:line="400" w:lineRule="atLeast"/>
              <w:rPr>
                <w:rFonts w:hint="eastAsia" w:eastAsia="仿宋_GB2312"/>
                <w:color w:val="FF0000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hint="eastAsia"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内科学</w:t>
            </w:r>
          </w:p>
          <w:p>
            <w:pPr>
              <w:spacing w:line="400" w:lineRule="atLeast"/>
              <w:rPr>
                <w:rFonts w:eastAsia="仿宋_GB2312"/>
                <w:color w:val="FF0000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hint="eastAsia"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授课情况只认定：教务处、研究生学院、继续教育学院下达的教学工作任务。申报教师提供授课进程表或教学工作量统计表。</w:t>
            </w:r>
          </w:p>
        </w:tc>
        <w:tc>
          <w:tcPr>
            <w:tcW w:w="744" w:type="pct"/>
            <w:shd w:val="clear" w:color="auto" w:fill="auto"/>
          </w:tcPr>
          <w:p>
            <w:pPr>
              <w:spacing w:line="400" w:lineRule="atLeast"/>
              <w:rPr>
                <w:rFonts w:hint="eastAsia" w:eastAsia="仿宋_GB2312"/>
                <w:color w:val="FF0000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hint="eastAsia"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60</w:t>
            </w:r>
          </w:p>
        </w:tc>
        <w:tc>
          <w:tcPr>
            <w:tcW w:w="1095" w:type="pct"/>
            <w:shd w:val="clear" w:color="auto" w:fill="auto"/>
          </w:tcPr>
          <w:p>
            <w:pPr>
              <w:spacing w:line="400" w:lineRule="atLeast"/>
              <w:rPr>
                <w:rFonts w:hint="eastAsia" w:eastAsia="仿宋_GB2312"/>
                <w:color w:val="FF0000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hint="eastAsia"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32</w:t>
            </w:r>
          </w:p>
        </w:tc>
        <w:tc>
          <w:tcPr>
            <w:tcW w:w="756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此栏中应注明是否本科课程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pct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教研室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审核意见</w:t>
            </w:r>
          </w:p>
        </w:tc>
        <w:tc>
          <w:tcPr>
            <w:tcW w:w="3933" w:type="pct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承担教学工作年平均学时数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，同教研室同等职称年平均学时数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负责人（签字）               年   月   日</w:t>
            </w:r>
          </w:p>
          <w:p>
            <w:pPr>
              <w:spacing w:line="300" w:lineRule="auto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（二）教学考核情况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68"/>
        <w:gridCol w:w="1642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学年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考核情况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学年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2014/2015</w:t>
            </w:r>
          </w:p>
        </w:tc>
        <w:tc>
          <w:tcPr>
            <w:tcW w:w="2568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pacing w:val="-16"/>
                <w:sz w:val="24"/>
              </w:rPr>
              <w:t>（此栏教务处填写）</w:t>
            </w:r>
          </w:p>
        </w:tc>
        <w:tc>
          <w:tcPr>
            <w:tcW w:w="1642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201</w:t>
            </w:r>
            <w:r>
              <w:rPr>
                <w:rFonts w:ascii="仿宋_GB2312" w:eastAsia="仿宋_GB2312"/>
                <w:spacing w:val="-16"/>
                <w:sz w:val="24"/>
              </w:rPr>
              <w:t>7</w:t>
            </w:r>
            <w:r>
              <w:rPr>
                <w:rFonts w:hint="eastAsia" w:ascii="仿宋_GB2312" w:eastAsia="仿宋_GB2312"/>
                <w:spacing w:val="-16"/>
                <w:sz w:val="24"/>
              </w:rPr>
              <w:t>/201</w:t>
            </w:r>
            <w:r>
              <w:rPr>
                <w:rFonts w:ascii="仿宋_GB2312" w:eastAsia="仿宋_GB2312"/>
                <w:spacing w:val="-16"/>
                <w:sz w:val="24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2015/2016</w:t>
            </w:r>
          </w:p>
        </w:tc>
        <w:tc>
          <w:tcPr>
            <w:tcW w:w="2568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201</w:t>
            </w:r>
            <w:r>
              <w:rPr>
                <w:rFonts w:ascii="仿宋_GB2312" w:eastAsia="仿宋_GB2312"/>
                <w:spacing w:val="-16"/>
                <w:sz w:val="24"/>
              </w:rPr>
              <w:t>8</w:t>
            </w:r>
            <w:r>
              <w:rPr>
                <w:rFonts w:hint="eastAsia" w:ascii="仿宋_GB2312" w:eastAsia="仿宋_GB2312"/>
                <w:spacing w:val="-16"/>
                <w:sz w:val="24"/>
              </w:rPr>
              <w:t>/201</w:t>
            </w:r>
            <w:r>
              <w:rPr>
                <w:rFonts w:ascii="仿宋_GB2312" w:eastAsia="仿宋_GB2312"/>
                <w:spacing w:val="-16"/>
                <w:sz w:val="24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2016/2017</w:t>
            </w:r>
          </w:p>
        </w:tc>
        <w:tc>
          <w:tcPr>
            <w:tcW w:w="2568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三、候选人教研成果</w:t>
      </w:r>
    </w:p>
    <w:p>
      <w:pPr>
        <w:spacing w:line="338" w:lineRule="auto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（一）承担教学改革项目情况</w:t>
      </w:r>
    </w:p>
    <w:tbl>
      <w:tblPr>
        <w:tblStyle w:val="4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684"/>
        <w:gridCol w:w="1726"/>
        <w:gridCol w:w="141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Hlk25930381"/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028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立项单位</w:t>
            </w:r>
          </w:p>
        </w:tc>
        <w:tc>
          <w:tcPr>
            <w:tcW w:w="1054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864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779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医学院校青年教师教学能力提升路径研究</w:t>
            </w:r>
          </w:p>
        </w:tc>
        <w:tc>
          <w:tcPr>
            <w:tcW w:w="1028" w:type="pct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安徽省教育厅</w:t>
            </w:r>
          </w:p>
        </w:tc>
        <w:tc>
          <w:tcPr>
            <w:tcW w:w="1054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2012.07</w:t>
            </w:r>
          </w:p>
        </w:tc>
        <w:tc>
          <w:tcPr>
            <w:tcW w:w="864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教学研究项目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bookmarkEnd w:id="0"/>
    </w:tbl>
    <w:p>
      <w:pPr>
        <w:spacing w:line="338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（二）获教学成果情况</w:t>
      </w:r>
    </w:p>
    <w:tbl>
      <w:tblPr>
        <w:tblStyle w:val="4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84"/>
        <w:gridCol w:w="1726"/>
        <w:gridCol w:w="1417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Hlk25930553"/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028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获奖单位</w:t>
            </w:r>
          </w:p>
        </w:tc>
        <w:tc>
          <w:tcPr>
            <w:tcW w:w="1054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865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奖项等次</w:t>
            </w:r>
          </w:p>
        </w:tc>
        <w:tc>
          <w:tcPr>
            <w:tcW w:w="779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病案分析法在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内科</w:t>
            </w:r>
            <w:r>
              <w:rPr>
                <w:rFonts w:ascii="宋体" w:hAnsi="宋体"/>
                <w:bCs/>
                <w:sz w:val="18"/>
                <w:szCs w:val="18"/>
              </w:rPr>
              <w:t>学教学中的应用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</w:p>
        </w:tc>
        <w:tc>
          <w:tcPr>
            <w:tcW w:w="1028" w:type="pct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安徽省教育厅</w:t>
            </w:r>
          </w:p>
        </w:tc>
        <w:tc>
          <w:tcPr>
            <w:tcW w:w="1054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2013.07</w:t>
            </w:r>
          </w:p>
        </w:tc>
        <w:tc>
          <w:tcPr>
            <w:tcW w:w="865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二等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86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bookmarkEnd w:id="1"/>
    </w:tbl>
    <w:p>
      <w:pPr>
        <w:spacing w:line="338" w:lineRule="auto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（三）教学研究论文情况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2268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日  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 w:val="24"/>
                <w:szCs w:val="24"/>
              </w:rPr>
              <w:t>期刊名称、刊号、期号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Times New Roman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266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  <w:t>1.重组日本血吸虫P14蛋白对血吸虫感染小鼠保护性免疫效果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color w:val="FF0000"/>
                <w:sz w:val="18"/>
                <w:szCs w:val="18"/>
              </w:rPr>
              <w:t>2013.8.15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400" w:lineRule="atLeast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  <w:t>《中国血吸虫病防治杂志》</w:t>
            </w:r>
            <w:r>
              <w:rPr>
                <w:rFonts w:ascii="仿宋_GB2312" w:hAnsi="Times New Roman" w:eastAsia="仿宋_GB2312"/>
                <w:color w:val="FF0000"/>
                <w:sz w:val="18"/>
                <w:szCs w:val="18"/>
              </w:rPr>
              <w:t>ISSN 1005-6661</w:t>
            </w:r>
          </w:p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color w:val="FF0000"/>
                <w:sz w:val="18"/>
                <w:szCs w:val="18"/>
              </w:rPr>
              <w:t>CN 32-1374/R</w:t>
            </w:r>
            <w:r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  <w:t>，</w:t>
            </w:r>
            <w:r>
              <w:rPr>
                <w:rFonts w:ascii="仿宋_GB2312" w:hAnsi="Times New Roman" w:eastAsia="仿宋_GB2312"/>
                <w:color w:val="FF0000"/>
                <w:sz w:val="18"/>
                <w:szCs w:val="18"/>
              </w:rPr>
              <w:t>2013,25(4):375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  <w:t>一类</w:t>
            </w:r>
          </w:p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color w:val="FF0000"/>
                <w:sz w:val="18"/>
                <w:szCs w:val="18"/>
              </w:rPr>
              <w:t>MEDLINE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  <w:t>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400" w:lineRule="atLeast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400" w:lineRule="atLeast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6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400" w:lineRule="atLeast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00" w:lineRule="atLeas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</w:tr>
    </w:tbl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四、候选人教材建设</w:t>
      </w:r>
    </w:p>
    <w:tbl>
      <w:tblPr>
        <w:tblStyle w:val="4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1276"/>
        <w:gridCol w:w="226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5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79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1385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是否规划教材</w:t>
            </w:r>
          </w:p>
        </w:tc>
        <w:tc>
          <w:tcPr>
            <w:tcW w:w="1211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参编/主编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  <w:t>教材/专著</w:t>
            </w:r>
          </w:p>
        </w:tc>
        <w:tc>
          <w:tcPr>
            <w:tcW w:w="1385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21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385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21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5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21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5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21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5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5" w:type="pc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21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38" w:lineRule="auto"/>
        <w:ind w:firstLine="3240" w:firstLineChars="1350"/>
        <w:rPr>
          <w:rFonts w:hAnsi="宋体"/>
          <w:sz w:val="24"/>
          <w:szCs w:val="24"/>
        </w:rPr>
      </w:pPr>
    </w:p>
    <w:p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五、青年教师培养（青年教学标兵奖无需填报此项）</w:t>
      </w:r>
    </w:p>
    <w:tbl>
      <w:tblPr>
        <w:tblStyle w:val="4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8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青年教师姓名</w:t>
            </w:r>
          </w:p>
        </w:tc>
        <w:tc>
          <w:tcPr>
            <w:tcW w:w="3952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5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5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8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5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39" w:lineRule="auto"/>
        <w:ind w:firstLine="643" w:firstLineChars="20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39" w:lineRule="auto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六、本科生培养</w:t>
      </w:r>
    </w:p>
    <w:tbl>
      <w:tblPr>
        <w:tblStyle w:val="4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3950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50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39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七、科研工作（教学卓越奖、青年教学标兵奖无需填报此项）</w:t>
      </w:r>
    </w:p>
    <w:tbl>
      <w:tblPr>
        <w:tblStyle w:val="4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303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017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102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39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八、其他</w:t>
      </w:r>
    </w:p>
    <w:tbl>
      <w:tblPr>
        <w:tblStyle w:val="4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303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17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2" w:type="pct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九、候选人主要教育教学成就简介</w:t>
      </w:r>
    </w:p>
    <w:p>
      <w:pPr>
        <w:jc w:val="center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（限3000字以内）</w:t>
      </w: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jc w:val="left"/>
        <w:rPr>
          <w:rFonts w:ascii="华文仿宋" w:hAnsi="华文仿宋" w:eastAsia="华文仿宋"/>
          <w:sz w:val="24"/>
          <w:szCs w:val="24"/>
        </w:rPr>
      </w:pPr>
    </w:p>
    <w:p>
      <w:pPr>
        <w:wordWrap w:val="0"/>
        <w:spacing w:before="156" w:beforeLines="50" w:line="360" w:lineRule="auto"/>
        <w:jc w:val="righ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本人签字：    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年   月   日</w:t>
      </w:r>
    </w:p>
    <w:p>
      <w:pPr>
        <w:spacing w:line="338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</w:rPr>
        <w:t>十</w:t>
      </w:r>
      <w:r>
        <w:rPr>
          <w:rFonts w:hint="eastAsia" w:ascii="宋体" w:hAnsi="宋体"/>
          <w:b/>
          <w:bCs/>
          <w:sz w:val="32"/>
          <w:szCs w:val="32"/>
        </w:rPr>
        <w:t>、推荐、评审意见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9" w:hRule="atLeast"/>
        </w:trPr>
        <w:tc>
          <w:tcPr>
            <w:tcW w:w="80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专家委员会推荐意见</w:t>
            </w:r>
          </w:p>
        </w:tc>
        <w:tc>
          <w:tcPr>
            <w:tcW w:w="4197" w:type="pct"/>
            <w:vAlign w:val="bottom"/>
          </w:tcPr>
          <w:p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负责人（签字）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1" w:hRule="atLeast"/>
        </w:trPr>
        <w:tc>
          <w:tcPr>
            <w:tcW w:w="80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tabs>
                <w:tab w:val="left" w:pos="4391"/>
              </w:tabs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负责人（签字）                年   月   日</w:t>
            </w:r>
          </w:p>
        </w:tc>
      </w:tr>
    </w:tbl>
    <w:p>
      <w:pPr>
        <w:rPr>
          <w:rFonts w:hint="eastAsia" w:ascii="华文仿宋" w:hAnsi="华文仿宋" w:eastAsia="华文仿宋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bookmarkStart w:id="2" w:name="_GoBack"/>
      <w:bookmarkEnd w:id="2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5"/>
    <w:rsid w:val="00057F2A"/>
    <w:rsid w:val="0010265E"/>
    <w:rsid w:val="003020FD"/>
    <w:rsid w:val="004D378B"/>
    <w:rsid w:val="007F1AEA"/>
    <w:rsid w:val="00BC68FF"/>
    <w:rsid w:val="00C604CB"/>
    <w:rsid w:val="00D40096"/>
    <w:rsid w:val="00E4741A"/>
    <w:rsid w:val="00EB035D"/>
    <w:rsid w:val="00ED04AF"/>
    <w:rsid w:val="00F93963"/>
    <w:rsid w:val="00FA4AD5"/>
    <w:rsid w:val="03483BD1"/>
    <w:rsid w:val="09FE3C84"/>
    <w:rsid w:val="33A14921"/>
    <w:rsid w:val="4B5F451A"/>
    <w:rsid w:val="5D3062BE"/>
    <w:rsid w:val="7961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1444</Characters>
  <Lines>12</Lines>
  <Paragraphs>3</Paragraphs>
  <TotalTime>93</TotalTime>
  <ScaleCrop>false</ScaleCrop>
  <LinksUpToDate>false</LinksUpToDate>
  <CharactersWithSpaces>1694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五月</cp:lastModifiedBy>
  <cp:lastPrinted>2019-11-29T07:55:00Z</cp:lastPrinted>
  <dcterms:modified xsi:type="dcterms:W3CDTF">2020-12-09T06:20:57Z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