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>
      <w:pPr>
        <w:pStyle w:val="16"/>
        <w:tabs>
          <w:tab w:val="right" w:leader="dot" w:pos="8306"/>
        </w:tabs>
        <w:jc w:val="center"/>
        <w:rPr>
          <w:rFonts w:ascii="黑体" w:hAnsi="黑体" w:eastAsia="黑体" w:cs="黑体"/>
          <w:b/>
          <w:bCs/>
          <w:sz w:val="72"/>
          <w:szCs w:val="72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eastAsia="zh-CN"/>
        </w:rPr>
        <w:t>医学教育实习管理</w:t>
      </w:r>
      <w:r>
        <w:rPr>
          <w:rFonts w:hint="eastAsia" w:ascii="黑体" w:hAnsi="黑体" w:eastAsia="黑体" w:cs="黑体"/>
          <w:b/>
          <w:bCs/>
          <w:sz w:val="72"/>
          <w:szCs w:val="72"/>
        </w:rPr>
        <w:t>系统</w:t>
      </w:r>
    </w:p>
    <w:p>
      <w:pPr>
        <w:jc w:val="center"/>
        <w:rPr>
          <w:rFonts w:hint="eastAsia" w:ascii="黑体" w:hAnsi="黑体" w:eastAsia="黑体"/>
          <w:b/>
          <w:bCs/>
          <w:sz w:val="72"/>
          <w:szCs w:val="72"/>
          <w:lang w:eastAsia="zh-CN"/>
        </w:rPr>
      </w:pPr>
      <w:r>
        <w:rPr>
          <w:rFonts w:hint="eastAsia" w:ascii="黑体" w:hAnsi="黑体" w:eastAsia="黑体"/>
          <w:b/>
          <w:bCs/>
          <w:sz w:val="72"/>
          <w:szCs w:val="72"/>
          <w:lang w:eastAsia="zh-CN"/>
        </w:rPr>
        <w:t>（教师）</w:t>
      </w:r>
    </w:p>
    <w:p>
      <w:pPr>
        <w:rPr>
          <w:rFonts w:asciiTheme="minorEastAsia" w:hAnsiTheme="minorEastAsia" w:eastAsiaTheme="minorEastAsia"/>
          <w:b/>
          <w:bCs/>
          <w:sz w:val="72"/>
          <w:szCs w:val="72"/>
        </w:rPr>
      </w:pPr>
    </w:p>
    <w:p>
      <w:pPr>
        <w:pStyle w:val="16"/>
        <w:tabs>
          <w:tab w:val="right" w:leader="dot" w:pos="8306"/>
        </w:tabs>
        <w:jc w:val="center"/>
        <w:rPr>
          <w:rFonts w:hint="eastAsia" w:ascii="黑体" w:hAnsi="黑体" w:eastAsia="黑体"/>
          <w:b/>
          <w:bCs/>
          <w:sz w:val="72"/>
          <w:szCs w:val="72"/>
          <w:lang w:eastAsia="zh-CN"/>
        </w:rPr>
      </w:pPr>
      <w:r>
        <w:rPr>
          <w:rFonts w:hint="eastAsia" w:ascii="黑体" w:hAnsi="黑体" w:eastAsia="黑体"/>
          <w:b/>
          <w:bCs/>
          <w:sz w:val="72"/>
          <w:szCs w:val="72"/>
          <w:lang w:eastAsia="zh-CN"/>
        </w:rPr>
        <w:t>操</w:t>
      </w:r>
    </w:p>
    <w:p>
      <w:pPr>
        <w:pStyle w:val="16"/>
        <w:tabs>
          <w:tab w:val="right" w:leader="dot" w:pos="8306"/>
        </w:tabs>
        <w:jc w:val="center"/>
        <w:rPr>
          <w:rFonts w:hint="eastAsia" w:ascii="黑体" w:hAnsi="黑体" w:eastAsia="黑体"/>
          <w:b/>
          <w:bCs/>
          <w:sz w:val="72"/>
          <w:szCs w:val="72"/>
          <w:lang w:eastAsia="zh-CN"/>
        </w:rPr>
      </w:pPr>
      <w:r>
        <w:rPr>
          <w:rFonts w:hint="eastAsia" w:ascii="黑体" w:hAnsi="黑体" w:eastAsia="黑体"/>
          <w:b/>
          <w:bCs/>
          <w:sz w:val="72"/>
          <w:szCs w:val="72"/>
          <w:lang w:eastAsia="zh-CN"/>
        </w:rPr>
        <w:t>作</w:t>
      </w:r>
    </w:p>
    <w:p>
      <w:pPr>
        <w:pStyle w:val="16"/>
        <w:tabs>
          <w:tab w:val="right" w:leader="dot" w:pos="8306"/>
        </w:tabs>
        <w:jc w:val="center"/>
        <w:rPr>
          <w:rFonts w:hint="eastAsia" w:ascii="黑体" w:hAnsi="黑体" w:eastAsia="黑体"/>
          <w:b/>
          <w:bCs/>
          <w:sz w:val="72"/>
          <w:szCs w:val="72"/>
          <w:lang w:eastAsia="zh-CN"/>
        </w:rPr>
      </w:pPr>
      <w:r>
        <w:rPr>
          <w:rFonts w:hint="eastAsia" w:ascii="黑体" w:hAnsi="黑体" w:eastAsia="黑体"/>
          <w:b/>
          <w:bCs/>
          <w:sz w:val="72"/>
          <w:szCs w:val="72"/>
          <w:lang w:eastAsia="zh-CN"/>
        </w:rPr>
        <w:t>手</w:t>
      </w:r>
    </w:p>
    <w:p>
      <w:pPr>
        <w:pStyle w:val="16"/>
        <w:tabs>
          <w:tab w:val="right" w:leader="dot" w:pos="8306"/>
        </w:tabs>
        <w:jc w:val="center"/>
        <w:rPr>
          <w:rFonts w:hint="eastAsia" w:ascii="黑体" w:hAnsi="黑体" w:eastAsia="黑体"/>
          <w:b/>
          <w:bCs/>
          <w:sz w:val="72"/>
          <w:szCs w:val="72"/>
          <w:lang w:eastAsia="zh-CN"/>
        </w:rPr>
      </w:pPr>
      <w:r>
        <w:rPr>
          <w:rFonts w:hint="eastAsia" w:ascii="黑体" w:hAnsi="黑体" w:eastAsia="黑体"/>
          <w:b/>
          <w:bCs/>
          <w:sz w:val="72"/>
          <w:szCs w:val="72"/>
          <w:lang w:eastAsia="zh-CN"/>
        </w:rPr>
        <w:t>册</w:t>
      </w:r>
    </w:p>
    <w:p>
      <w:pPr>
        <w:rPr>
          <w:rFonts w:hint="eastAsia"/>
          <w:lang w:eastAsia="zh-CN"/>
        </w:rPr>
      </w:pPr>
    </w:p>
    <w:p>
      <w:pPr>
        <w:pStyle w:val="16"/>
        <w:tabs>
          <w:tab w:val="right" w:leader="dot" w:pos="8306"/>
        </w:tabs>
        <w:jc w:val="center"/>
        <w:rPr>
          <w:rFonts w:asciiTheme="minorEastAsia" w:hAnsiTheme="minorEastAsia" w:eastAsiaTheme="minorEastAsia"/>
          <w:b/>
          <w:bCs/>
          <w:sz w:val="52"/>
          <w:szCs w:val="52"/>
        </w:rPr>
      </w:pPr>
    </w:p>
    <w:p>
      <w:pPr>
        <w:rPr>
          <w:rFonts w:asciiTheme="minorEastAsia" w:hAnsiTheme="minorEastAsia" w:eastAsiaTheme="minorEastAsia"/>
          <w:b/>
          <w:bCs/>
          <w:sz w:val="52"/>
          <w:szCs w:val="52"/>
        </w:rPr>
      </w:pPr>
    </w:p>
    <w:p>
      <w:pPr>
        <w:rPr>
          <w:rFonts w:asciiTheme="minorEastAsia" w:hAnsiTheme="minorEastAsia" w:eastAsiaTheme="minorEastAsia"/>
          <w:b/>
          <w:bCs/>
          <w:sz w:val="52"/>
          <w:szCs w:val="52"/>
        </w:rPr>
      </w:pPr>
    </w:p>
    <w:p>
      <w:pPr>
        <w:rPr>
          <w:rFonts w:asciiTheme="minorEastAsia" w:hAnsiTheme="minorEastAsia" w:eastAsiaTheme="minorEastAsia"/>
          <w:b/>
          <w:bCs/>
          <w:sz w:val="52"/>
          <w:szCs w:val="52"/>
        </w:rPr>
      </w:pPr>
    </w:p>
    <w:p>
      <w:pPr>
        <w:jc w:val="center"/>
      </w:pPr>
    </w:p>
    <w:p>
      <w:pPr>
        <w:pStyle w:val="16"/>
        <w:tabs>
          <w:tab w:val="right" w:leader="dot" w:pos="8306"/>
        </w:tabs>
        <w:jc w:val="center"/>
        <w:rPr>
          <w:rFonts w:asciiTheme="minorEastAsia" w:hAnsiTheme="minorEastAsia" w:eastAsiaTheme="minorEastAsia"/>
          <w:b/>
          <w:bCs/>
          <w:sz w:val="52"/>
          <w:szCs w:val="52"/>
        </w:rPr>
      </w:pPr>
      <w:r>
        <w:drawing>
          <wp:inline distT="0" distB="0" distL="114300" distR="114300">
            <wp:extent cx="3601720" cy="470535"/>
            <wp:effectExtent l="0" t="0" r="17780" b="571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tabs>
          <w:tab w:val="right" w:leader="dot" w:pos="8306"/>
        </w:tabs>
        <w:jc w:val="center"/>
        <w:rPr>
          <w:rFonts w:hint="eastAsia"/>
          <w:sz w:val="32"/>
          <w:szCs w:val="32"/>
        </w:rPr>
      </w:pPr>
    </w:p>
    <w:p>
      <w:pPr>
        <w:pStyle w:val="16"/>
        <w:tabs>
          <w:tab w:val="right" w:leader="dot" w:pos="8306"/>
        </w:tabs>
        <w:jc w:val="center"/>
        <w:rPr>
          <w:b w:val="0"/>
          <w:bCs w:val="0"/>
          <w:sz w:val="32"/>
          <w:szCs w:val="32"/>
        </w:rPr>
      </w:pPr>
      <w:r>
        <w:rPr>
          <w:rFonts w:hint="eastAsia"/>
          <w:b w:val="0"/>
          <w:bCs w:val="0"/>
          <w:sz w:val="32"/>
          <w:szCs w:val="32"/>
        </w:rPr>
        <w:t>目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/>
          <w:b w:val="0"/>
          <w:bCs w:val="0"/>
          <w:sz w:val="32"/>
          <w:szCs w:val="32"/>
        </w:rPr>
        <w:t>录</w:t>
      </w:r>
    </w:p>
    <w:p>
      <w:pPr>
        <w:pStyle w:val="1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TOC \o "1-3" \h \u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_Toc18137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</w:rPr>
        <w:t xml:space="preserve">一. </w:t>
      </w:r>
      <w:r>
        <w:rPr>
          <w:rFonts w:hint="eastAsia"/>
          <w:lang w:val="en-US" w:eastAsia="zh-CN"/>
        </w:rPr>
        <w:t>APP</w:t>
      </w:r>
      <w:r>
        <w:rPr>
          <w:rFonts w:hint="eastAsia"/>
          <w:lang w:eastAsia="zh-CN"/>
        </w:rPr>
        <w:t>功能</w:t>
      </w:r>
      <w:r>
        <w:tab/>
      </w:r>
      <w:r>
        <w:fldChar w:fldCharType="begin"/>
      </w:r>
      <w:r>
        <w:instrText xml:space="preserve"> PAGEREF _Toc18137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_Toc24556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1.1. </w:t>
      </w:r>
      <w:r>
        <w:rPr>
          <w:rFonts w:hint="eastAsia"/>
          <w:lang w:val="en-US" w:eastAsia="zh-CN"/>
        </w:rPr>
        <w:t>移动端APP</w:t>
      </w:r>
      <w:r>
        <w:tab/>
      </w:r>
      <w:r>
        <w:fldChar w:fldCharType="begin"/>
      </w:r>
      <w:r>
        <w:instrText xml:space="preserve"> PAGEREF _Toc24556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_Toc8073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1.1.1. </w:t>
      </w:r>
      <w:r>
        <w:rPr>
          <w:rFonts w:hint="eastAsia"/>
          <w:lang w:val="en-US" w:eastAsia="zh-CN"/>
        </w:rPr>
        <w:t>APP下载安装</w:t>
      </w:r>
      <w:r>
        <w:tab/>
      </w:r>
      <w:r>
        <w:fldChar w:fldCharType="begin"/>
      </w:r>
      <w:r>
        <w:instrText xml:space="preserve"> PAGEREF _Toc8073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_Toc29601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1.1.2. </w:t>
      </w:r>
      <w:r>
        <w:rPr>
          <w:rFonts w:hint="eastAsia"/>
          <w:lang w:val="en-US" w:eastAsia="zh-CN"/>
        </w:rPr>
        <w:t>角色切换</w:t>
      </w:r>
      <w:r>
        <w:tab/>
      </w:r>
      <w:r>
        <w:fldChar w:fldCharType="begin"/>
      </w:r>
      <w:r>
        <w:instrText xml:space="preserve"> PAGEREF _Toc29601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_Toc25665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1.1.3. </w:t>
      </w:r>
      <w:r>
        <w:rPr>
          <w:rFonts w:hint="eastAsia"/>
          <w:lang w:val="en-US" w:eastAsia="zh-CN"/>
        </w:rPr>
        <w:t>签到</w:t>
      </w:r>
      <w:r>
        <w:tab/>
      </w:r>
      <w:r>
        <w:fldChar w:fldCharType="begin"/>
      </w:r>
      <w:r>
        <w:instrText xml:space="preserve"> PAGEREF _Toc25665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_Toc6812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</w:rPr>
        <w:t xml:space="preserve">1.1.4. </w:t>
      </w:r>
      <w:r>
        <w:rPr>
          <w:rFonts w:hint="eastAsia"/>
          <w:lang w:val="en-US" w:eastAsia="zh-CN"/>
        </w:rPr>
        <w:t>签到统计</w:t>
      </w:r>
      <w:r>
        <w:tab/>
      </w:r>
      <w:r>
        <w:fldChar w:fldCharType="begin"/>
      </w:r>
      <w:r>
        <w:instrText xml:space="preserve"> PAGEREF _Toc6812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_Toc12809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1.1.5. </w:t>
      </w:r>
      <w:r>
        <w:rPr>
          <w:rFonts w:hint="eastAsia"/>
          <w:lang w:val="en-US" w:eastAsia="zh-CN"/>
        </w:rPr>
        <w:t>审批</w:t>
      </w:r>
      <w:r>
        <w:tab/>
      </w:r>
      <w:r>
        <w:fldChar w:fldCharType="begin"/>
      </w:r>
      <w:r>
        <w:instrText xml:space="preserve"> PAGEREF _Toc12809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_Toc695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eastAsia="zh-CN"/>
        </w:rPr>
        <w:t xml:space="preserve">1.1.6. </w:t>
      </w:r>
      <w:r>
        <w:rPr>
          <w:rFonts w:hint="eastAsia"/>
          <w:lang w:val="en-US" w:eastAsia="zh-CN"/>
        </w:rPr>
        <w:t>汇报</w:t>
      </w:r>
      <w:r>
        <w:tab/>
      </w:r>
      <w:r>
        <w:fldChar w:fldCharType="begin"/>
      </w:r>
      <w:r>
        <w:instrText xml:space="preserve"> PAGEREF _Toc695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_Toc14466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1.1.7. </w:t>
      </w:r>
      <w:r>
        <w:rPr>
          <w:rFonts w:hint="eastAsia"/>
          <w:lang w:val="en-US" w:eastAsia="zh-CN"/>
        </w:rPr>
        <w:t>表单</w:t>
      </w:r>
      <w:r>
        <w:tab/>
      </w:r>
      <w:r>
        <w:fldChar w:fldCharType="begin"/>
      </w:r>
      <w:r>
        <w:instrText xml:space="preserve"> PAGEREF _Toc14466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_Toc6543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1.1.8. </w:t>
      </w:r>
      <w:r>
        <w:rPr>
          <w:rFonts w:hint="eastAsia"/>
          <w:lang w:val="en-US" w:eastAsia="zh-CN"/>
        </w:rPr>
        <w:t>公告</w:t>
      </w:r>
      <w:r>
        <w:tab/>
      </w:r>
      <w:r>
        <w:fldChar w:fldCharType="begin"/>
      </w:r>
      <w:r>
        <w:instrText xml:space="preserve"> PAGEREF _Toc6543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_Toc16716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</w:rPr>
        <w:t xml:space="preserve">二. </w:t>
      </w:r>
      <w:r>
        <w:rPr>
          <w:rFonts w:hint="eastAsia"/>
          <w:lang w:val="en-US" w:eastAsia="zh-CN"/>
        </w:rPr>
        <w:t>PC（网页端）</w:t>
      </w:r>
      <w:r>
        <w:rPr>
          <w:rFonts w:hint="eastAsia"/>
          <w:lang w:eastAsia="zh-CN"/>
        </w:rPr>
        <w:t>功能</w:t>
      </w:r>
      <w:r>
        <w:tab/>
      </w:r>
      <w:r>
        <w:fldChar w:fldCharType="begin"/>
      </w:r>
      <w:r>
        <w:instrText xml:space="preserve"> PAGEREF _Toc16716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_Toc13018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2.1. </w:t>
      </w:r>
      <w:r>
        <w:rPr>
          <w:rFonts w:hint="eastAsia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_Toc13018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_Toc1937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</w:rPr>
        <w:t xml:space="preserve">2.2. </w:t>
      </w:r>
      <w:r>
        <w:rPr>
          <w:rFonts w:hint="eastAsia"/>
          <w:lang w:val="en-US" w:eastAsia="zh-CN"/>
        </w:rPr>
        <w:t>首页</w:t>
      </w:r>
      <w:r>
        <w:tab/>
      </w:r>
      <w:r>
        <w:fldChar w:fldCharType="begin"/>
      </w:r>
      <w:r>
        <w:instrText xml:space="preserve"> PAGEREF _Toc1937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_Toc8760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</w:rPr>
        <w:t xml:space="preserve">2.2.1. </w:t>
      </w:r>
      <w:r>
        <w:rPr>
          <w:rFonts w:hint="eastAsia"/>
          <w:lang w:val="en-US" w:eastAsia="zh-CN"/>
        </w:rPr>
        <w:t>工作台</w:t>
      </w:r>
      <w:r>
        <w:tab/>
      </w:r>
      <w:r>
        <w:fldChar w:fldCharType="begin"/>
      </w:r>
      <w:r>
        <w:instrText xml:space="preserve"> PAGEREF _Toc8760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_Toc2312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2.2.2. </w:t>
      </w:r>
      <w:r>
        <w:rPr>
          <w:rFonts w:hint="eastAsia"/>
          <w:lang w:val="en-US" w:eastAsia="zh-CN"/>
        </w:rPr>
        <w:t>个人设置</w:t>
      </w:r>
      <w:r>
        <w:tab/>
      </w:r>
      <w:r>
        <w:fldChar w:fldCharType="begin"/>
      </w:r>
      <w:r>
        <w:instrText xml:space="preserve"> PAGEREF _Toc2312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_Toc27835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2.3. </w:t>
      </w:r>
      <w:r>
        <w:rPr>
          <w:rFonts w:hint="eastAsia"/>
          <w:lang w:val="en-US" w:eastAsia="zh-CN"/>
        </w:rPr>
        <w:t>应用</w:t>
      </w:r>
      <w:r>
        <w:tab/>
      </w:r>
      <w:r>
        <w:fldChar w:fldCharType="begin"/>
      </w:r>
      <w:r>
        <w:instrText xml:space="preserve"> PAGEREF _Toc27835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_Toc1001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2.3.1. </w:t>
      </w:r>
      <w:r>
        <w:rPr>
          <w:rFonts w:hint="eastAsia"/>
          <w:lang w:val="en-US" w:eastAsia="zh-CN"/>
        </w:rPr>
        <w:t>公告</w:t>
      </w:r>
      <w:r>
        <w:tab/>
      </w:r>
      <w:r>
        <w:fldChar w:fldCharType="begin"/>
      </w:r>
      <w:r>
        <w:instrText xml:space="preserve"> PAGEREF _Toc1001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_Toc6010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2.3.2. </w:t>
      </w:r>
      <w:r>
        <w:rPr>
          <w:rFonts w:hint="eastAsia"/>
          <w:lang w:val="en-US" w:eastAsia="zh-CN"/>
        </w:rPr>
        <w:t>汇报</w:t>
      </w:r>
      <w:r>
        <w:tab/>
      </w:r>
      <w:r>
        <w:fldChar w:fldCharType="begin"/>
      </w:r>
      <w:r>
        <w:instrText xml:space="preserve"> PAGEREF _Toc6010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_Toc12714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2.3.3. </w:t>
      </w:r>
      <w:r>
        <w:rPr>
          <w:rFonts w:hint="eastAsia"/>
          <w:lang w:val="en-US" w:eastAsia="zh-CN"/>
        </w:rPr>
        <w:t>审批</w:t>
      </w:r>
      <w:r>
        <w:tab/>
      </w:r>
      <w:r>
        <w:fldChar w:fldCharType="begin"/>
      </w:r>
      <w:r>
        <w:instrText xml:space="preserve"> PAGEREF _Toc12714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_Toc997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2.3.4. </w:t>
      </w:r>
      <w:r>
        <w:rPr>
          <w:rFonts w:hint="eastAsia"/>
          <w:lang w:val="en-US" w:eastAsia="zh-CN"/>
        </w:rPr>
        <w:t>表单</w:t>
      </w:r>
      <w:r>
        <w:tab/>
      </w:r>
      <w:r>
        <w:fldChar w:fldCharType="begin"/>
      </w:r>
      <w:r>
        <w:instrText xml:space="preserve"> PAGEREF _Toc997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_Toc3198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2.3.5. </w:t>
      </w:r>
      <w:r>
        <w:rPr>
          <w:rFonts w:hint="eastAsia"/>
          <w:lang w:val="en-US" w:eastAsia="zh-CN"/>
        </w:rPr>
        <w:t>签到</w:t>
      </w:r>
      <w:r>
        <w:tab/>
      </w:r>
      <w:r>
        <w:fldChar w:fldCharType="begin"/>
      </w:r>
      <w:r>
        <w:instrText xml:space="preserve"> PAGEREF _Toc3198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_Toc4037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2.4. </w:t>
      </w:r>
      <w:r>
        <w:rPr>
          <w:rFonts w:hint="eastAsia"/>
          <w:lang w:val="en-US" w:eastAsia="zh-CN"/>
        </w:rPr>
        <w:t>实习</w:t>
      </w:r>
      <w:r>
        <w:tab/>
      </w:r>
      <w:r>
        <w:fldChar w:fldCharType="begin"/>
      </w:r>
      <w:r>
        <w:instrText xml:space="preserve"> PAGEREF _Toc4037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_Toc7659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2.4.1. </w:t>
      </w:r>
      <w:r>
        <w:rPr>
          <w:rFonts w:hint="eastAsia"/>
          <w:lang w:val="en-US" w:eastAsia="zh-CN"/>
        </w:rPr>
        <w:t>实习去向</w:t>
      </w:r>
      <w:r>
        <w:tab/>
      </w:r>
      <w:r>
        <w:fldChar w:fldCharType="begin"/>
      </w:r>
      <w:r>
        <w:instrText xml:space="preserve"> PAGEREF _Toc7659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_Toc7675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2.4.2. </w:t>
      </w:r>
      <w:r>
        <w:rPr>
          <w:rFonts w:hint="eastAsia"/>
          <w:lang w:val="en-US" w:eastAsia="zh-CN"/>
        </w:rPr>
        <w:t>实习安排</w:t>
      </w:r>
      <w:r>
        <w:tab/>
      </w:r>
      <w:r>
        <w:fldChar w:fldCharType="begin"/>
      </w:r>
      <w:r>
        <w:instrText xml:space="preserve"> PAGEREF _Toc7675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_Toc1779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2.5. </w:t>
      </w:r>
      <w:r>
        <w:rPr>
          <w:rFonts w:hint="eastAsia"/>
          <w:lang w:val="en-US" w:eastAsia="zh-CN"/>
        </w:rPr>
        <w:t>基地</w:t>
      </w:r>
      <w:r>
        <w:tab/>
      </w:r>
      <w:r>
        <w:fldChar w:fldCharType="begin"/>
      </w:r>
      <w:r>
        <w:instrText xml:space="preserve"> PAGEREF _Toc1779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_Toc5762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2.6. </w:t>
      </w:r>
      <w:r>
        <w:rPr>
          <w:rFonts w:hint="eastAsia"/>
          <w:lang w:val="en-US" w:eastAsia="zh-CN"/>
        </w:rPr>
        <w:t>管理</w:t>
      </w:r>
      <w:r>
        <w:tab/>
      </w:r>
      <w:r>
        <w:fldChar w:fldCharType="begin"/>
      </w:r>
      <w:r>
        <w:instrText xml:space="preserve"> PAGEREF _Toc5762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2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5825"/>
      <w:bookmarkStart w:id="1" w:name="_Toc16032"/>
    </w:p>
    <w:bookmarkEnd w:id="0"/>
    <w:bookmarkEnd w:id="1"/>
    <w:p>
      <w:pPr>
        <w:pStyle w:val="2"/>
      </w:pPr>
      <w:bookmarkStart w:id="2" w:name="_Toc18137"/>
      <w:r>
        <w:rPr>
          <w:rFonts w:hint="eastAsia"/>
          <w:lang w:val="en-US" w:eastAsia="zh-CN"/>
        </w:rPr>
        <w:t>APP</w:t>
      </w:r>
      <w:r>
        <w:rPr>
          <w:rFonts w:hint="eastAsia"/>
          <w:lang w:eastAsia="zh-CN"/>
        </w:rPr>
        <w:t>功能</w:t>
      </w:r>
      <w:bookmarkEnd w:id="2"/>
    </w:p>
    <w:p>
      <w:pPr>
        <w:pStyle w:val="3"/>
        <w:bidi w:val="0"/>
        <w:rPr>
          <w:rFonts w:hint="eastAsia"/>
          <w:lang w:val="en-US" w:eastAsia="zh-CN"/>
        </w:rPr>
      </w:pPr>
      <w:bookmarkStart w:id="3" w:name="_Toc24556"/>
      <w:r>
        <w:rPr>
          <w:rFonts w:hint="eastAsia"/>
          <w:lang w:val="en-US" w:eastAsia="zh-CN"/>
        </w:rPr>
        <w:t>移动端APP</w:t>
      </w:r>
      <w:bookmarkEnd w:id="3"/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可查看学生签到，审批任务，查看汇报，提交表单，查看公告等功能。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4" w:name="_Toc8073"/>
      <w:r>
        <w:rPr>
          <w:rFonts w:hint="eastAsia"/>
          <w:lang w:val="en-US" w:eastAsia="zh-CN"/>
        </w:rPr>
        <w:t>APP下载安装</w:t>
      </w:r>
      <w:bookmarkEnd w:id="4"/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590165" cy="2923540"/>
            <wp:effectExtent l="0" t="0" r="63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</w:t>
      </w:r>
      <w:r>
        <w:drawing>
          <wp:inline distT="0" distB="0" distL="114300" distR="114300">
            <wp:extent cx="2277110" cy="3897630"/>
            <wp:effectExtent l="0" t="0" r="889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苹果用户可在苹果商店搜索“慧职教”下载安装。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安卓系统手机需要打开手机浏览器扫码下载安装。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APP安装完成后，打开慧职教APP进行登录；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选择学校名称：“XXXXXX学校（自己学校名称）”；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账号：输入工号；</w:t>
      </w:r>
    </w:p>
    <w:p>
      <w:pPr>
        <w:numPr>
          <w:ilvl w:val="0"/>
          <w:numId w:val="0"/>
        </w:num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密码：输入密码即可登录；默认初始密码：sx账号后六位。比如学号：20182020  初始密码：sx182020；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2486025" cy="3225165"/>
            <wp:effectExtent l="0" t="0" r="952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5" w:name="_Toc29601"/>
      <w:r>
        <w:rPr>
          <w:rFonts w:hint="eastAsia"/>
          <w:lang w:val="en-US" w:eastAsia="zh-CN"/>
        </w:rPr>
        <w:t>角色切换</w:t>
      </w:r>
      <w:bookmarkEnd w:id="5"/>
    </w:p>
    <w:p>
      <w:pPr>
        <w:spacing w:before="40" w:after="4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一个账号存在多个角色时，右上角可进行角色切换。</w:t>
      </w:r>
    </w:p>
    <w:p>
      <w:pPr>
        <w:numPr>
          <w:ilvl w:val="0"/>
          <w:numId w:val="0"/>
        </w:numPr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38425" cy="52959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6" w:name="_Toc25665"/>
      <w:r>
        <w:rPr>
          <w:rFonts w:hint="eastAsia"/>
          <w:lang w:val="en-US" w:eastAsia="zh-CN"/>
        </w:rPr>
        <w:t>签到</w:t>
      </w:r>
      <w:bookmarkEnd w:id="6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点击签到进入签到页面，进行实时定位签到功能。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签到记录：可查看已签到及未签到的日期；</w:t>
      </w:r>
    </w:p>
    <w:p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52650" cy="42862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322195" cy="3846830"/>
            <wp:effectExtent l="0" t="0" r="190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6812"/>
      <w:r>
        <w:rPr>
          <w:rFonts w:hint="eastAsia"/>
          <w:lang w:val="en-US" w:eastAsia="zh-CN"/>
        </w:rPr>
        <w:t>签到统计</w:t>
      </w:r>
      <w:bookmarkEnd w:id="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老师点击【签到】按钮即可默认显示学生签到统计页面</w:t>
      </w:r>
    </w:p>
    <w:p>
      <w:r>
        <w:drawing>
          <wp:inline distT="0" distB="0" distL="114300" distR="114300">
            <wp:extent cx="2464435" cy="4352290"/>
            <wp:effectExtent l="0" t="0" r="12065" b="1016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r="6198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按月统计签到情况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559050" cy="3991610"/>
            <wp:effectExtent l="0" t="0" r="12700" b="889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签到排行榜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475230" cy="3854450"/>
            <wp:effectExtent l="0" t="0" r="1270" b="12700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206625" cy="3924935"/>
            <wp:effectExtent l="0" t="0" r="3175" b="18415"/>
            <wp:docPr id="50" name="图片 50" descr="09A081EE0F33E2A1B281DF6C40838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9A081EE0F33E2A1B281DF6C408385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未签到记录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277745" cy="4468495"/>
            <wp:effectExtent l="0" t="0" r="8255" b="8255"/>
            <wp:docPr id="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筛选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158365" cy="4290060"/>
            <wp:effectExtent l="0" t="0" r="13335" b="15240"/>
            <wp:docPr id="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685415" cy="3954780"/>
            <wp:effectExtent l="0" t="0" r="635" b="7620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查看学生签到详情页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134360" cy="3745865"/>
            <wp:effectExtent l="0" t="0" r="8890" b="698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374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8" w:name="_Toc12809"/>
      <w:r>
        <w:rPr>
          <w:rFonts w:hint="eastAsia"/>
          <w:lang w:val="en-US" w:eastAsia="zh-CN"/>
        </w:rPr>
        <w:t>审批</w:t>
      </w:r>
      <w:bookmarkEnd w:id="8"/>
    </w:p>
    <w:p>
      <w:pPr>
        <w:keepNext w:val="0"/>
        <w:keepLines w:val="0"/>
        <w:widowControl/>
        <w:suppressLineNumbers w:val="0"/>
        <w:jc w:val="left"/>
        <w:rPr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点击审批进入审批页面，可进行实习基地提报，以及审批功能，</w:t>
      </w:r>
      <w:r>
        <w:rPr>
          <w:rFonts w:hint="eastAsia"/>
          <w:lang w:eastAsia="zh-CN"/>
        </w:rPr>
        <w:t>包括：就业转实习，自联单位报备，免实习报备，实习单位变更，补卡申请，请假的审批操作；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45030" cy="4323080"/>
            <wp:effectExtent l="0" t="0" r="7620" b="127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实习基地提报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提交实习基地提报申请。</w:t>
      </w:r>
    </w:p>
    <w:p>
      <w:r>
        <w:drawing>
          <wp:inline distT="0" distB="0" distL="114300" distR="114300">
            <wp:extent cx="2094230" cy="4206240"/>
            <wp:effectExtent l="0" t="0" r="1270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我审批的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查看需我审批的信息。</w:t>
      </w:r>
    </w:p>
    <w:p>
      <w:r>
        <w:drawing>
          <wp:inline distT="0" distB="0" distL="114300" distR="114300">
            <wp:extent cx="2150745" cy="4422775"/>
            <wp:effectExtent l="0" t="0" r="1905" b="158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我提交的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查看本人提交的审批信息。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2045970" cy="4071620"/>
            <wp:effectExtent l="0" t="0" r="11430" b="50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eastAsia="zh-CN"/>
        </w:rPr>
      </w:pPr>
      <w:bookmarkStart w:id="9" w:name="_Toc695"/>
      <w:r>
        <w:rPr>
          <w:rFonts w:hint="eastAsia"/>
          <w:lang w:val="en-US" w:eastAsia="zh-CN"/>
        </w:rPr>
        <w:t>汇报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汇报页面</w:t>
      </w:r>
    </w:p>
    <w:p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054860" cy="4039235"/>
            <wp:effectExtent l="0" t="0" r="2540" b="1841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" w:after="40" w:line="360" w:lineRule="auto"/>
        <w:jc w:val="both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 xml:space="preserve">写汇报 </w:t>
      </w:r>
      <w:r>
        <w:rPr>
          <w:rFonts w:ascii="宋体" w:hAnsi="宋体" w:eastAsia="宋体"/>
          <w:sz w:val="24"/>
          <w:szCs w:val="24"/>
        </w:rPr>
        <w:t xml:space="preserve">                                          看汇报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667000" cy="42005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1"/>
          <w:szCs w:val="21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476500" cy="42291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评论和评审汇报</w:t>
      </w:r>
    </w:p>
    <w:p>
      <w:r>
        <w:drawing>
          <wp:inline distT="0" distB="0" distL="114300" distR="114300">
            <wp:extent cx="2496185" cy="4209415"/>
            <wp:effectExtent l="0" t="0" r="18415" b="63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0" w:name="_Toc14466"/>
      <w:r>
        <w:rPr>
          <w:rFonts w:hint="eastAsia"/>
          <w:lang w:val="en-US" w:eastAsia="zh-CN"/>
        </w:rPr>
        <w:t>表单</w:t>
      </w:r>
      <w:bookmarkEnd w:id="10"/>
    </w:p>
    <w:p>
      <w:pPr>
        <w:spacing w:before="40" w:after="40" w:line="360" w:lineRule="auto"/>
        <w:jc w:val="both"/>
        <w:rPr>
          <w:rFonts w:hint="eastAsia"/>
          <w:b/>
          <w:bCs/>
          <w:lang w:val="en-US" w:eastAsia="zh-CN"/>
        </w:rPr>
      </w:pPr>
      <w:r>
        <w:rPr>
          <w:rFonts w:ascii="宋体" w:hAnsi="宋体" w:eastAsia="宋体"/>
          <w:sz w:val="24"/>
          <w:szCs w:val="24"/>
        </w:rPr>
        <w:t>填写及查看表单信息。</w:t>
      </w: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bookmarkStart w:id="11" w:name="_Toc6543"/>
      <w:r>
        <w:rPr>
          <w:rFonts w:hint="eastAsia"/>
          <w:lang w:val="en-US" w:eastAsia="zh-CN"/>
        </w:rPr>
        <w:t>公告</w:t>
      </w:r>
      <w:bookmarkEnd w:id="11"/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查看公告</w:t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40915" cy="4503420"/>
            <wp:effectExtent l="0" t="0" r="6985" b="1143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</w:t>
      </w:r>
      <w:r>
        <w:drawing>
          <wp:inline distT="0" distB="0" distL="114300" distR="114300">
            <wp:extent cx="2635885" cy="4438650"/>
            <wp:effectExtent l="0" t="0" r="12065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公告列表</w:t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>发布公告</w:t>
      </w:r>
    </w:p>
    <w:p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2647950" cy="4198620"/>
            <wp:effectExtent l="0" t="0" r="0" b="11430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72360" cy="4323080"/>
            <wp:effectExtent l="0" t="0" r="8890" b="127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公告详情</w:t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>编辑公告</w:t>
      </w:r>
    </w:p>
    <w:p>
      <w:pPr>
        <w:spacing w:before="40" w:after="4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343150" cy="40767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1"/>
          <w:szCs w:val="21"/>
        </w:rPr>
        <w:t xml:space="preserve">   </w:t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686050" cy="444817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2" w:name="_Toc16716"/>
      <w:r>
        <w:rPr>
          <w:rFonts w:hint="eastAsia"/>
          <w:lang w:val="en-US" w:eastAsia="zh-CN"/>
        </w:rPr>
        <w:t>PC（网页端）</w:t>
      </w:r>
      <w:r>
        <w:rPr>
          <w:rFonts w:hint="eastAsia"/>
          <w:lang w:eastAsia="zh-CN"/>
        </w:rPr>
        <w:t>功能</w:t>
      </w:r>
      <w:bookmarkEnd w:id="12"/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13018"/>
      <w:bookmarkStart w:id="14" w:name="_Toc25529"/>
      <w:bookmarkStart w:id="15" w:name="_Toc21989"/>
      <w:bookmarkStart w:id="16" w:name="_Toc27566"/>
      <w:r>
        <w:rPr>
          <w:rFonts w:hint="eastAsia"/>
          <w:lang w:val="en-US" w:eastAsia="zh-CN"/>
        </w:rPr>
        <w:t>登录</w:t>
      </w:r>
      <w:bookmarkEnd w:id="13"/>
      <w:bookmarkEnd w:id="14"/>
      <w:bookmarkEnd w:id="15"/>
      <w:bookmarkEnd w:id="16"/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打开网页端访问地址，输入账号密码进行登录</w:t>
      </w:r>
      <w:bookmarkStart w:id="42" w:name="_GoBack"/>
      <w:bookmarkEnd w:id="42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jc w:val="both"/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228975"/>
            <wp:effectExtent l="0" t="0" r="254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17" w:name="_Toc1937"/>
      <w:r>
        <w:rPr>
          <w:rFonts w:hint="eastAsia"/>
          <w:lang w:val="en-US" w:eastAsia="zh-CN"/>
        </w:rPr>
        <w:t>首页</w:t>
      </w:r>
      <w:bookmarkEnd w:id="17"/>
    </w:p>
    <w:p>
      <w:pPr>
        <w:pStyle w:val="4"/>
        <w:rPr>
          <w:rFonts w:hint="eastAsia"/>
        </w:rPr>
      </w:pPr>
      <w:bookmarkStart w:id="18" w:name="_Toc8760"/>
      <w:r>
        <w:rPr>
          <w:rFonts w:hint="eastAsia"/>
          <w:lang w:val="en-US" w:eastAsia="zh-CN"/>
        </w:rPr>
        <w:t>工作台</w:t>
      </w:r>
      <w:bookmarkEnd w:id="1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用户常用模块的快捷入口</w:t>
      </w:r>
    </w:p>
    <w:p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74310" cy="2113280"/>
            <wp:effectExtent l="0" t="0" r="2540" b="12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9" w:name="_Toc30084"/>
      <w:bookmarkStart w:id="20" w:name="_Toc2312"/>
      <w:r>
        <w:rPr>
          <w:rFonts w:hint="eastAsia"/>
          <w:lang w:val="en-US" w:eastAsia="zh-CN"/>
        </w:rPr>
        <w:t>个人设置</w:t>
      </w:r>
      <w:bookmarkEnd w:id="19"/>
      <w:bookmarkEnd w:id="2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基础设置</w:t>
      </w:r>
    </w:p>
    <w:p>
      <w:r>
        <w:drawing>
          <wp:inline distT="0" distB="0" distL="114300" distR="114300">
            <wp:extent cx="5266055" cy="2387600"/>
            <wp:effectExtent l="0" t="0" r="10795" b="12700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安全设置</w:t>
      </w:r>
    </w:p>
    <w:p>
      <w:pPr>
        <w:rPr>
          <w:rFonts w:hint="eastAsia"/>
        </w:rPr>
      </w:pPr>
      <w:r>
        <w:drawing>
          <wp:inline distT="0" distB="0" distL="114300" distR="114300">
            <wp:extent cx="5271770" cy="2159000"/>
            <wp:effectExtent l="0" t="0" r="5080" b="1270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1" w:name="_Toc27835"/>
      <w:r>
        <w:rPr>
          <w:rFonts w:hint="eastAsia"/>
          <w:lang w:val="en-US" w:eastAsia="zh-CN"/>
        </w:rPr>
        <w:t>应用</w:t>
      </w:r>
      <w:bookmarkEnd w:id="21"/>
    </w:p>
    <w:p>
      <w:pPr>
        <w:pStyle w:val="4"/>
        <w:bidi w:val="0"/>
        <w:rPr>
          <w:rFonts w:hint="eastAsia"/>
          <w:lang w:val="en-US" w:eastAsia="zh-CN"/>
        </w:rPr>
      </w:pPr>
      <w:bookmarkStart w:id="22" w:name="_Toc1001"/>
      <w:r>
        <w:rPr>
          <w:rFonts w:hint="eastAsia"/>
          <w:lang w:val="en-US" w:eastAsia="zh-CN"/>
        </w:rPr>
        <w:t>公告</w:t>
      </w:r>
      <w:bookmarkEnd w:id="22"/>
    </w:p>
    <w:p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>查看学校发布的相关公告及资料下载。</w:t>
      </w:r>
      <w:r>
        <w:drawing>
          <wp:inline distT="0" distB="0" distL="114300" distR="114300">
            <wp:extent cx="5274310" cy="1449070"/>
            <wp:effectExtent l="0" t="0" r="2540" b="17780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3" w:name="_Toc6010"/>
      <w:r>
        <w:rPr>
          <w:rFonts w:hint="eastAsia"/>
          <w:lang w:val="en-US" w:eastAsia="zh-CN"/>
        </w:rPr>
        <w:t>汇报</w:t>
      </w:r>
      <w:bookmarkEnd w:id="23"/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写汇报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根据学校要求提交需汇报的信息，包括指导教师巡查登记表，指导教师指导记录等。</w:t>
      </w:r>
    </w:p>
    <w:p>
      <w:pPr>
        <w:numPr>
          <w:ilvl w:val="0"/>
          <w:numId w:val="0"/>
        </w:numPr>
        <w:jc w:val="left"/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948815"/>
            <wp:effectExtent l="0" t="0" r="2540" b="133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看汇报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查看相关人员提交的汇报情况，包括学生提交的日报，周报，月报，实习总结，实习队长提交的月汇报表等。</w:t>
      </w:r>
    </w:p>
    <w:p>
      <w:pPr>
        <w:rPr>
          <w:rFonts w:hint="eastAsia"/>
          <w:lang w:eastAsia="zh-CN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435225"/>
            <wp:effectExtent l="0" t="0" r="254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24" w:name="_Toc12714"/>
      <w:r>
        <w:rPr>
          <w:rFonts w:hint="eastAsia"/>
          <w:lang w:val="en-US" w:eastAsia="zh-CN"/>
        </w:rPr>
        <w:t>审批</w:t>
      </w:r>
      <w:bookmarkEnd w:id="24"/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我发起的——可查看我发起的申请审批进度情况。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我审批的——可查看需本人审批的事项。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我发起的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可进行实习基地提报申请，提交后由上级进行审核。</w:t>
      </w:r>
    </w:p>
    <w:p>
      <w:pPr>
        <w:numPr>
          <w:ilvl w:val="0"/>
          <w:numId w:val="0"/>
        </w:numPr>
        <w:jc w:val="left"/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912620"/>
            <wp:effectExtent l="0" t="0" r="2540" b="1143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我审批的</w:t>
      </w:r>
    </w:p>
    <w:p>
      <w:pPr>
        <w:numPr>
          <w:ilvl w:val="0"/>
          <w:numId w:val="0"/>
        </w:numPr>
        <w:jc w:val="left"/>
      </w:pPr>
      <w:r>
        <w:rPr>
          <w:rFonts w:hint="eastAsia"/>
          <w:lang w:eastAsia="zh-CN"/>
        </w:rPr>
        <w:t>可查看及审批所有待我审批的信息；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49987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5" w:name="_Toc997"/>
      <w:r>
        <w:rPr>
          <w:rFonts w:hint="eastAsia"/>
          <w:lang w:val="en-US" w:eastAsia="zh-CN"/>
        </w:rPr>
        <w:t>表单</w:t>
      </w:r>
      <w:bookmarkEnd w:id="25"/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函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可查看本人接收到的函信息。</w:t>
      </w:r>
    </w:p>
    <w:p>
      <w:pPr>
        <w:numPr>
          <w:ilvl w:val="0"/>
          <w:numId w:val="3"/>
        </w:numPr>
        <w:ind w:left="425" w:leftChars="0" w:hanging="425" w:firstLineChars="0"/>
        <w:jc w:val="left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收集表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可查看需填写的收集信息，收集表标题及简介，收集表截止时间等。点击填写数据可进入详细信息填写页面并提交。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3555365"/>
            <wp:effectExtent l="0" t="0" r="254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表单记录</w:t>
      </w:r>
    </w:p>
    <w:p>
      <w:pPr>
        <w:pStyle w:val="6"/>
        <w:rPr>
          <w:rFonts w:hint="eastAsia"/>
          <w:lang w:eastAsia="zh-CN"/>
        </w:rPr>
      </w:pPr>
      <w:r>
        <w:rPr>
          <w:rFonts w:hint="eastAsia"/>
          <w:lang w:eastAsia="zh-CN"/>
        </w:rPr>
        <w:t>函</w:t>
      </w:r>
    </w:p>
    <w:p>
      <w:pPr>
        <w:pStyle w:val="7"/>
        <w:numPr>
          <w:ilvl w:val="5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1）</w:t>
      </w:r>
      <w:r>
        <w:rPr>
          <w:rFonts w:hint="eastAsia"/>
          <w:lang w:eastAsia="zh-CN"/>
        </w:rPr>
        <w:t>写函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2880" cy="1442720"/>
            <wp:effectExtent l="0" t="0" r="13970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有两种方式选择接收单位：指定单位和根据指定业务选择单位。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1499870"/>
            <wp:effectExtent l="0" t="0" r="571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eastAsia="宋体"/>
          <w:lang w:eastAsia="zh-CN"/>
        </w:rPr>
      </w:pPr>
      <w:r>
        <w:rPr>
          <w:rFonts w:hint="eastAsia"/>
          <w:b/>
          <w:bCs/>
          <w:lang w:eastAsia="zh-CN"/>
        </w:rPr>
        <w:t>第一种方式：</w:t>
      </w:r>
      <w:r>
        <w:rPr>
          <w:rFonts w:hint="eastAsia"/>
          <w:lang w:eastAsia="zh-CN"/>
        </w:rPr>
        <w:t>指定单位；选择指定单位</w:t>
      </w:r>
      <w:r>
        <w:rPr>
          <w:rFonts w:hint="eastAsia"/>
          <w:lang w:val="en-US" w:eastAsia="zh-CN"/>
        </w:rPr>
        <w:t>→</w:t>
      </w:r>
      <w:r>
        <w:rPr>
          <w:rFonts w:hint="eastAsia"/>
          <w:lang w:eastAsia="zh-CN"/>
        </w:rPr>
        <w:t>点击添加单位</w:t>
      </w:r>
      <w:r>
        <w:rPr>
          <w:rFonts w:hint="eastAsia"/>
          <w:lang w:val="en-US" w:eastAsia="zh-CN"/>
        </w:rPr>
        <w:t>→</w:t>
      </w:r>
      <w:r>
        <w:rPr>
          <w:rFonts w:hint="eastAsia"/>
          <w:lang w:eastAsia="zh-CN"/>
        </w:rPr>
        <w:t>根据实习年度和实习计划选择发布函的单位</w:t>
      </w:r>
      <w:r>
        <w:rPr>
          <w:rFonts w:hint="eastAsia"/>
          <w:lang w:val="en-US" w:eastAsia="zh-CN"/>
        </w:rPr>
        <w:t>→发函单位选择后，填写发函内容，发函说明及详细信息→发布。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3040" cy="3033395"/>
            <wp:effectExtent l="0" t="0" r="3810" b="146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eastAsia="宋体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填写发函内容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0975" cy="1742440"/>
            <wp:effectExtent l="0" t="0" r="15875" b="1016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第二种方式：</w:t>
      </w:r>
      <w:r>
        <w:rPr>
          <w:rFonts w:hint="eastAsia"/>
          <w:b w:val="0"/>
          <w:bCs w:val="0"/>
          <w:lang w:eastAsia="zh-CN"/>
        </w:rPr>
        <w:t>根据指定业务选择单位；选择根据指定业务选择单位</w:t>
      </w:r>
      <w:r>
        <w:rPr>
          <w:rFonts w:hint="eastAsia"/>
          <w:lang w:val="en-US" w:eastAsia="zh-CN"/>
        </w:rPr>
        <w:t>→添加实习业务→选择业务类型，根据实习年度和计划展示实习单位→发函单位选择后，填写发函内容，发函说明及详细信息→发布。</w:t>
      </w:r>
    </w:p>
    <w:p>
      <w:pPr>
        <w:numPr>
          <w:ilvl w:val="0"/>
          <w:numId w:val="0"/>
        </w:numPr>
        <w:jc w:val="left"/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74310" cy="1750695"/>
            <wp:effectExtent l="0" t="0" r="254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="宋体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填写发函内容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2208530"/>
            <wp:effectExtent l="0" t="0" r="8255" b="127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5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2）</w:t>
      </w:r>
      <w:r>
        <w:rPr>
          <w:rFonts w:hint="eastAsia"/>
          <w:lang w:eastAsia="zh-CN"/>
        </w:rPr>
        <w:t>发函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函件内容编辑完成之后，进行发函操作。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233805"/>
            <wp:effectExtent l="0" t="0" r="10160" b="444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发函详细页面：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3515" cy="1810385"/>
            <wp:effectExtent l="0" t="0" r="13335" b="1841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一键发函或单独发函功能：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467610"/>
            <wp:effectExtent l="0" t="0" r="2540" b="88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/>
          <w:lang w:eastAsia="zh-CN"/>
        </w:rPr>
      </w:pPr>
      <w:r>
        <w:rPr>
          <w:rFonts w:hint="eastAsia"/>
          <w:lang w:eastAsia="zh-CN"/>
        </w:rPr>
        <w:t>表单记录</w:t>
      </w:r>
    </w:p>
    <w:p>
      <w:pPr>
        <w:pStyle w:val="7"/>
        <w:numPr>
          <w:ilvl w:val="5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1）</w:t>
      </w:r>
      <w:r>
        <w:rPr>
          <w:rFonts w:hint="eastAsia"/>
          <w:lang w:eastAsia="zh-CN"/>
        </w:rPr>
        <w:t>新增收集任务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4310" cy="1368425"/>
            <wp:effectExtent l="0" t="0" r="2540" b="317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新增收集表设置页：设置收集表名称、简介、接收对象、收集起止时间以及每天最多填写条数。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366645"/>
            <wp:effectExtent l="0" t="0" r="10160" b="1460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表单设计：可选择收集表模板，或自定义收集表字段。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3515" cy="1339850"/>
            <wp:effectExtent l="0" t="0" r="13335" b="1270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5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2）查看收集表信息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1368425"/>
            <wp:effectExtent l="0" t="0" r="5715" b="317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收集表收集情况查看：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8595" cy="1243965"/>
            <wp:effectExtent l="0" t="0" r="8255" b="1333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模板管理</w:t>
      </w:r>
    </w:p>
    <w:p>
      <w:pPr>
        <w:pStyle w:val="6"/>
        <w:rPr>
          <w:rFonts w:hint="eastAsia"/>
          <w:lang w:eastAsia="zh-CN"/>
        </w:rPr>
      </w:pPr>
      <w:r>
        <w:rPr>
          <w:rFonts w:hint="eastAsia"/>
          <w:lang w:eastAsia="zh-CN"/>
        </w:rPr>
        <w:t>函模板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查看系统内置函模板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71135" cy="1623060"/>
            <wp:effectExtent l="0" t="0" r="5715" b="152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收集表模板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1564005"/>
            <wp:effectExtent l="0" t="0" r="10795" b="1714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新增收集表模板：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2167890"/>
            <wp:effectExtent l="0" t="0" r="8255" b="381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自定义收集表字段类型：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4310" cy="2096135"/>
            <wp:effectExtent l="0" t="0" r="2540" b="1841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收集表保存后，可对收集表进行预览，重新编辑，停用和删除操作。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232660"/>
            <wp:effectExtent l="0" t="0" r="15240" b="1524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6" w:name="_Toc3198"/>
      <w:r>
        <w:rPr>
          <w:rFonts w:hint="eastAsia"/>
          <w:lang w:val="en-US" w:eastAsia="zh-CN"/>
        </w:rPr>
        <w:t>签到</w:t>
      </w:r>
      <w:bookmarkEnd w:id="26"/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我的签到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本人所有的签到记录。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签到统计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统计本人管辖范围的学生所有签到记录，可按日或月统计包括已签到和未签到的学生，详细记录学生的签到总天数及签到状态。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159000"/>
            <wp:effectExtent l="0" t="0" r="9525" b="1270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签到记录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查看本人管辖范围的学生签到详情。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7" w:name="_Toc4037"/>
      <w:r>
        <w:rPr>
          <w:rFonts w:hint="eastAsia"/>
          <w:lang w:val="en-US" w:eastAsia="zh-CN"/>
        </w:rPr>
        <w:t>实习</w:t>
      </w:r>
      <w:bookmarkEnd w:id="27"/>
    </w:p>
    <w:p>
      <w:pPr>
        <w:pStyle w:val="4"/>
        <w:bidi w:val="0"/>
        <w:rPr>
          <w:rFonts w:hint="eastAsia"/>
          <w:lang w:val="en-US" w:eastAsia="zh-CN"/>
        </w:rPr>
      </w:pPr>
      <w:bookmarkStart w:id="28" w:name="_Toc7659"/>
      <w:bookmarkStart w:id="29" w:name="_Toc7635"/>
      <w:bookmarkStart w:id="30" w:name="_Toc25719"/>
      <w:bookmarkStart w:id="31" w:name="_Toc16052"/>
      <w:bookmarkStart w:id="32" w:name="_Toc11852"/>
      <w:r>
        <w:rPr>
          <w:rFonts w:hint="eastAsia"/>
          <w:lang w:val="en-US" w:eastAsia="zh-CN"/>
        </w:rPr>
        <w:t>实习去向</w:t>
      </w:r>
      <w:bookmarkEnd w:id="28"/>
      <w:bookmarkEnd w:id="29"/>
      <w:bookmarkEnd w:id="30"/>
      <w:bookmarkEnd w:id="31"/>
      <w:bookmarkEnd w:id="32"/>
    </w:p>
    <w:p>
      <w:pPr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派发学生实习单位，自联实习单位报备；单位信息中包含以下信息：单位基本信息、位置信息，学生宿舍位置信息，三方协议等；</w:t>
      </w:r>
    </w:p>
    <w:p>
      <w:pPr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在学生已经分配了大纲之后，院系管理员可以对学生进行一个岗位指派工作；</w:t>
      </w:r>
    </w:p>
    <w:p>
      <w:pPr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130800" cy="2257425"/>
            <wp:effectExtent l="0" t="0" r="12700" b="9525"/>
            <wp:docPr id="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学生岗位分配（统筹）</w:t>
      </w:r>
    </w:p>
    <w:p>
      <w:pPr>
        <w:numPr>
          <w:ilvl w:val="0"/>
          <w:numId w:val="0"/>
        </w:numPr>
        <w:jc w:val="both"/>
        <w:outlineLvl w:val="9"/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467610"/>
            <wp:effectExtent l="0" t="0" r="2540" b="889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岗位分配：可对多个学生进行岗位分配；</w:t>
      </w:r>
    </w:p>
    <w:p>
      <w:pPr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实习起止时间：所选学生时间的实在时间；</w:t>
      </w:r>
    </w:p>
    <w:p>
      <w:pPr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派发至：所选学生规则实习实践内容要到哪个单位实习；</w:t>
      </w:r>
    </w:p>
    <w:p>
      <w:pPr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添加其他单位：所选学生在不同的时间段内指派到不同的实习单位；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自联单位名单</w:t>
      </w:r>
    </w:p>
    <w:p>
      <w:pPr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记录和显示自我报备岗位的学生名单；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其他去向名单（不参加实习）</w:t>
      </w:r>
    </w:p>
    <w:p>
      <w:pPr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记录和显示不参加实习（如：升学，参加，休学等）的学生名单；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33" w:name="_Toc8613"/>
      <w:bookmarkStart w:id="34" w:name="_Toc20533"/>
      <w:r>
        <w:rPr>
          <w:rFonts w:hint="eastAsia"/>
          <w:lang w:val="en-US" w:eastAsia="zh-CN"/>
        </w:rPr>
        <w:t>实习变更</w:t>
      </w:r>
      <w:bookmarkEnd w:id="33"/>
      <w:bookmarkEnd w:id="34"/>
    </w:p>
    <w:p>
      <w:pPr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如存在单位变更、就业转实习、提前终止实习等场景，允许学生发起申请，学校予以审批。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35" w:name="_Toc7675"/>
      <w:bookmarkStart w:id="36" w:name="_Toc1476"/>
      <w:bookmarkStart w:id="37" w:name="_Toc30105"/>
      <w:bookmarkStart w:id="38" w:name="_Toc1096"/>
      <w:bookmarkStart w:id="39" w:name="_Toc21057"/>
      <w:r>
        <w:rPr>
          <w:rFonts w:hint="eastAsia"/>
          <w:lang w:val="en-US" w:eastAsia="zh-CN"/>
        </w:rPr>
        <w:t>实习安排</w:t>
      </w:r>
      <w:bookmarkEnd w:id="35"/>
      <w:bookmarkEnd w:id="36"/>
      <w:bookmarkEnd w:id="37"/>
      <w:bookmarkEnd w:id="38"/>
      <w:bookmarkEnd w:id="39"/>
    </w:p>
    <w:p>
      <w:pPr>
        <w:numPr>
          <w:ilvl w:val="0"/>
          <w:numId w:val="0"/>
        </w:numPr>
        <w:jc w:val="left"/>
        <w:outlineLvl w:val="9"/>
      </w:pPr>
      <w:r>
        <w:rPr>
          <w:rFonts w:hint="eastAsia"/>
          <w:lang w:val="en-US" w:eastAsia="zh-CN"/>
        </w:rPr>
        <w:t>查看学生干部指定，片区指导老师指派情况；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557780"/>
            <wp:effectExtent l="0" t="0" r="2540" b="1397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40" w:name="_Toc1779"/>
      <w:r>
        <w:rPr>
          <w:rFonts w:hint="eastAsia"/>
          <w:lang w:val="en-US" w:eastAsia="zh-CN"/>
        </w:rPr>
        <w:t>基地</w:t>
      </w:r>
      <w:bookmarkEnd w:id="40"/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可查看实习单位信息。</w:t>
      </w:r>
    </w:p>
    <w:p>
      <w:pPr>
        <w:numPr>
          <w:ilvl w:val="0"/>
          <w:numId w:val="0"/>
        </w:numPr>
        <w:jc w:val="both"/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562225"/>
            <wp:effectExtent l="0" t="0" r="254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41" w:name="_Toc5762"/>
      <w:r>
        <w:rPr>
          <w:rFonts w:hint="eastAsia"/>
          <w:lang w:val="en-US" w:eastAsia="zh-CN"/>
        </w:rPr>
        <w:t>管理</w:t>
      </w:r>
      <w:bookmarkEnd w:id="41"/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可查看本人管辖范围的学生信息。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CqS7ABcCAAAV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single" w:color="auto" w:sz="4" w:space="1"/>
      </w:pBdr>
    </w:pPr>
    <w:r>
      <w:drawing>
        <wp:inline distT="0" distB="0" distL="114300" distR="114300">
          <wp:extent cx="1708150" cy="223520"/>
          <wp:effectExtent l="0" t="0" r="6350" b="14605"/>
          <wp:docPr id="3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8150" cy="2235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  <w:lang w:eastAsia="zh-CN"/>
      </w:rPr>
      <w:t>医学教育实习</w:t>
    </w:r>
    <w:r>
      <w:rPr>
        <w:rFonts w:hint="eastAsia"/>
      </w:rPr>
      <w:t>管理系统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29EB0"/>
    <w:multiLevelType w:val="singleLevel"/>
    <w:tmpl w:val="07929EB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2EF48ACE"/>
    <w:multiLevelType w:val="singleLevel"/>
    <w:tmpl w:val="2EF48A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9A78FF6"/>
    <w:multiLevelType w:val="multilevel"/>
    <w:tmpl w:val="59A78FF6"/>
    <w:lvl w:ilvl="0" w:tentative="0">
      <w:start w:val="1"/>
      <w:numFmt w:val="chineseCounting"/>
      <w:pStyle w:val="2"/>
      <w:lvlText w:val="%1."/>
      <w:lvlJc w:val="left"/>
      <w:pPr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 w:ascii="宋体" w:hAnsi="宋体" w:eastAsia="宋体" w:cs="宋体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 w:ascii="宋体" w:hAnsi="宋体" w:eastAsia="宋体" w:cs="宋体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964E1"/>
    <w:rsid w:val="00115499"/>
    <w:rsid w:val="001165ED"/>
    <w:rsid w:val="00172A27"/>
    <w:rsid w:val="00177B82"/>
    <w:rsid w:val="001B5E07"/>
    <w:rsid w:val="001C0A1A"/>
    <w:rsid w:val="001D6AE6"/>
    <w:rsid w:val="00200AC7"/>
    <w:rsid w:val="00235809"/>
    <w:rsid w:val="002A268A"/>
    <w:rsid w:val="003B3D8F"/>
    <w:rsid w:val="003D7A8C"/>
    <w:rsid w:val="004237DB"/>
    <w:rsid w:val="00522FA7"/>
    <w:rsid w:val="00546D95"/>
    <w:rsid w:val="005B11F3"/>
    <w:rsid w:val="005D594C"/>
    <w:rsid w:val="00674AA5"/>
    <w:rsid w:val="006A01FC"/>
    <w:rsid w:val="007B39CB"/>
    <w:rsid w:val="00831C4E"/>
    <w:rsid w:val="00917E2B"/>
    <w:rsid w:val="00992546"/>
    <w:rsid w:val="00A577AF"/>
    <w:rsid w:val="00AD2930"/>
    <w:rsid w:val="00B561B8"/>
    <w:rsid w:val="00C103F5"/>
    <w:rsid w:val="00C251AF"/>
    <w:rsid w:val="00C44B9B"/>
    <w:rsid w:val="00C70B79"/>
    <w:rsid w:val="00D831F7"/>
    <w:rsid w:val="00DF38DD"/>
    <w:rsid w:val="00E50F77"/>
    <w:rsid w:val="00E66742"/>
    <w:rsid w:val="00E832BE"/>
    <w:rsid w:val="00EB0B73"/>
    <w:rsid w:val="00F47C93"/>
    <w:rsid w:val="00FA3B5B"/>
    <w:rsid w:val="00FE59AB"/>
    <w:rsid w:val="01144D70"/>
    <w:rsid w:val="035519D5"/>
    <w:rsid w:val="0431519E"/>
    <w:rsid w:val="044450CE"/>
    <w:rsid w:val="046D7D6D"/>
    <w:rsid w:val="062F3B6A"/>
    <w:rsid w:val="06465700"/>
    <w:rsid w:val="0654790A"/>
    <w:rsid w:val="06967653"/>
    <w:rsid w:val="06A836B2"/>
    <w:rsid w:val="06C3549F"/>
    <w:rsid w:val="06E33E39"/>
    <w:rsid w:val="06FD2318"/>
    <w:rsid w:val="070939C5"/>
    <w:rsid w:val="0717258B"/>
    <w:rsid w:val="07353913"/>
    <w:rsid w:val="07693BF4"/>
    <w:rsid w:val="07BE4D00"/>
    <w:rsid w:val="08351AF8"/>
    <w:rsid w:val="08791A00"/>
    <w:rsid w:val="093B7224"/>
    <w:rsid w:val="095329E2"/>
    <w:rsid w:val="095445FB"/>
    <w:rsid w:val="0A422155"/>
    <w:rsid w:val="0A47517E"/>
    <w:rsid w:val="0A697F54"/>
    <w:rsid w:val="0AFA24D4"/>
    <w:rsid w:val="0B7D03D5"/>
    <w:rsid w:val="0B95352E"/>
    <w:rsid w:val="0C335129"/>
    <w:rsid w:val="0CE02E36"/>
    <w:rsid w:val="0D047258"/>
    <w:rsid w:val="0D657E23"/>
    <w:rsid w:val="0D674195"/>
    <w:rsid w:val="0D735DF1"/>
    <w:rsid w:val="0E4446AE"/>
    <w:rsid w:val="0E86069F"/>
    <w:rsid w:val="0F096776"/>
    <w:rsid w:val="0F207C53"/>
    <w:rsid w:val="0F4E7749"/>
    <w:rsid w:val="0FC37BB4"/>
    <w:rsid w:val="0FF442E3"/>
    <w:rsid w:val="10637F0B"/>
    <w:rsid w:val="10947761"/>
    <w:rsid w:val="10A005F6"/>
    <w:rsid w:val="11510272"/>
    <w:rsid w:val="1260581C"/>
    <w:rsid w:val="126D3B3F"/>
    <w:rsid w:val="12FA0791"/>
    <w:rsid w:val="1313226A"/>
    <w:rsid w:val="153A5635"/>
    <w:rsid w:val="155B4CDB"/>
    <w:rsid w:val="15670D88"/>
    <w:rsid w:val="158D286B"/>
    <w:rsid w:val="16240789"/>
    <w:rsid w:val="1646432B"/>
    <w:rsid w:val="167271BA"/>
    <w:rsid w:val="171A66C5"/>
    <w:rsid w:val="172B7ABB"/>
    <w:rsid w:val="17B477B6"/>
    <w:rsid w:val="17BF2D99"/>
    <w:rsid w:val="182270D1"/>
    <w:rsid w:val="182B6E26"/>
    <w:rsid w:val="188625B0"/>
    <w:rsid w:val="1A163171"/>
    <w:rsid w:val="1A1D184B"/>
    <w:rsid w:val="1A627F42"/>
    <w:rsid w:val="1AE95CD6"/>
    <w:rsid w:val="1C88319D"/>
    <w:rsid w:val="1C990AAE"/>
    <w:rsid w:val="1CD24421"/>
    <w:rsid w:val="1CD67C48"/>
    <w:rsid w:val="1D114B92"/>
    <w:rsid w:val="1D6F6E7B"/>
    <w:rsid w:val="1D750693"/>
    <w:rsid w:val="1DE370BA"/>
    <w:rsid w:val="1E226DA7"/>
    <w:rsid w:val="1E440EC0"/>
    <w:rsid w:val="1EA95EA9"/>
    <w:rsid w:val="1EBE2371"/>
    <w:rsid w:val="1F123A4C"/>
    <w:rsid w:val="1F1E7852"/>
    <w:rsid w:val="1F344114"/>
    <w:rsid w:val="1F4035D7"/>
    <w:rsid w:val="1F470F4D"/>
    <w:rsid w:val="1FA60710"/>
    <w:rsid w:val="1FAD6EBA"/>
    <w:rsid w:val="1FB01A65"/>
    <w:rsid w:val="1FDD3E8A"/>
    <w:rsid w:val="1FF533C1"/>
    <w:rsid w:val="206E6E23"/>
    <w:rsid w:val="20BA3637"/>
    <w:rsid w:val="20CF14B4"/>
    <w:rsid w:val="20DC51A3"/>
    <w:rsid w:val="21070E7F"/>
    <w:rsid w:val="21334EC7"/>
    <w:rsid w:val="2174668F"/>
    <w:rsid w:val="21A5609B"/>
    <w:rsid w:val="21EB5A2A"/>
    <w:rsid w:val="22A37307"/>
    <w:rsid w:val="22EA6004"/>
    <w:rsid w:val="231175AE"/>
    <w:rsid w:val="237F19AA"/>
    <w:rsid w:val="239D6F3F"/>
    <w:rsid w:val="23AB2F13"/>
    <w:rsid w:val="243E2DCA"/>
    <w:rsid w:val="24D42471"/>
    <w:rsid w:val="24E058A9"/>
    <w:rsid w:val="25073E69"/>
    <w:rsid w:val="251257BE"/>
    <w:rsid w:val="251E2E1F"/>
    <w:rsid w:val="252221B1"/>
    <w:rsid w:val="252D5C55"/>
    <w:rsid w:val="256D6D25"/>
    <w:rsid w:val="260E0915"/>
    <w:rsid w:val="266F3C6B"/>
    <w:rsid w:val="26761DD4"/>
    <w:rsid w:val="26A126DB"/>
    <w:rsid w:val="275B1DE9"/>
    <w:rsid w:val="2790229E"/>
    <w:rsid w:val="27955607"/>
    <w:rsid w:val="27C00F62"/>
    <w:rsid w:val="281D41B7"/>
    <w:rsid w:val="29245F23"/>
    <w:rsid w:val="293C10C1"/>
    <w:rsid w:val="29905230"/>
    <w:rsid w:val="29B86E96"/>
    <w:rsid w:val="2AF9649B"/>
    <w:rsid w:val="2B147EBF"/>
    <w:rsid w:val="2B36034F"/>
    <w:rsid w:val="2B600314"/>
    <w:rsid w:val="2BAC0576"/>
    <w:rsid w:val="2BAC5AFA"/>
    <w:rsid w:val="2CCC7BAD"/>
    <w:rsid w:val="2DB43058"/>
    <w:rsid w:val="2E0A2CCE"/>
    <w:rsid w:val="2E37150E"/>
    <w:rsid w:val="2EE26E88"/>
    <w:rsid w:val="2EE35A57"/>
    <w:rsid w:val="2EFF3D7A"/>
    <w:rsid w:val="2F6C7719"/>
    <w:rsid w:val="2F705D75"/>
    <w:rsid w:val="2FA758C3"/>
    <w:rsid w:val="2FFF51F2"/>
    <w:rsid w:val="312D0D9C"/>
    <w:rsid w:val="32012698"/>
    <w:rsid w:val="3215087B"/>
    <w:rsid w:val="32156172"/>
    <w:rsid w:val="32A936BD"/>
    <w:rsid w:val="32AF4FAE"/>
    <w:rsid w:val="32C952EF"/>
    <w:rsid w:val="32EF2EA5"/>
    <w:rsid w:val="348B3AB7"/>
    <w:rsid w:val="349D6ECD"/>
    <w:rsid w:val="350D04DE"/>
    <w:rsid w:val="35B32F38"/>
    <w:rsid w:val="35CA52DD"/>
    <w:rsid w:val="35EA78CF"/>
    <w:rsid w:val="35F70803"/>
    <w:rsid w:val="3634669D"/>
    <w:rsid w:val="36A90F75"/>
    <w:rsid w:val="377D6CFB"/>
    <w:rsid w:val="384B7DA5"/>
    <w:rsid w:val="38BA163C"/>
    <w:rsid w:val="39393DC8"/>
    <w:rsid w:val="39F842D0"/>
    <w:rsid w:val="3AA468BB"/>
    <w:rsid w:val="3B0F1342"/>
    <w:rsid w:val="3BA42FCA"/>
    <w:rsid w:val="3BD879CA"/>
    <w:rsid w:val="3BDA5BF1"/>
    <w:rsid w:val="3C111242"/>
    <w:rsid w:val="3C6E2D1A"/>
    <w:rsid w:val="3CF85151"/>
    <w:rsid w:val="3D8C7A6E"/>
    <w:rsid w:val="3DDD4449"/>
    <w:rsid w:val="3E78276B"/>
    <w:rsid w:val="3EA05A78"/>
    <w:rsid w:val="3EBC550C"/>
    <w:rsid w:val="3ECF7C0F"/>
    <w:rsid w:val="3F057FBF"/>
    <w:rsid w:val="3F0B7F1A"/>
    <w:rsid w:val="3F553596"/>
    <w:rsid w:val="3F756610"/>
    <w:rsid w:val="404E3DBB"/>
    <w:rsid w:val="40A937FD"/>
    <w:rsid w:val="40C94307"/>
    <w:rsid w:val="40EF1AA7"/>
    <w:rsid w:val="412D65AE"/>
    <w:rsid w:val="416C3054"/>
    <w:rsid w:val="42CB53DA"/>
    <w:rsid w:val="42F36E29"/>
    <w:rsid w:val="4321695E"/>
    <w:rsid w:val="43AB54C3"/>
    <w:rsid w:val="44326FD1"/>
    <w:rsid w:val="445E5468"/>
    <w:rsid w:val="446E1141"/>
    <w:rsid w:val="44D80C3B"/>
    <w:rsid w:val="44EF5219"/>
    <w:rsid w:val="45092BE3"/>
    <w:rsid w:val="4555678E"/>
    <w:rsid w:val="455772AE"/>
    <w:rsid w:val="45D11482"/>
    <w:rsid w:val="4666542C"/>
    <w:rsid w:val="46EB259D"/>
    <w:rsid w:val="483928D3"/>
    <w:rsid w:val="4A800CEA"/>
    <w:rsid w:val="4AF24360"/>
    <w:rsid w:val="4B9B0326"/>
    <w:rsid w:val="4BAF626C"/>
    <w:rsid w:val="4D5D48E3"/>
    <w:rsid w:val="4D8C2D87"/>
    <w:rsid w:val="4E2B73B4"/>
    <w:rsid w:val="4E8E5604"/>
    <w:rsid w:val="4EDA0A22"/>
    <w:rsid w:val="4EEE7FD4"/>
    <w:rsid w:val="4F6C5FD4"/>
    <w:rsid w:val="4F8579E1"/>
    <w:rsid w:val="4F952C3F"/>
    <w:rsid w:val="4F9C276A"/>
    <w:rsid w:val="4FA17D71"/>
    <w:rsid w:val="4FC87C1F"/>
    <w:rsid w:val="50063627"/>
    <w:rsid w:val="5008401D"/>
    <w:rsid w:val="50155C2C"/>
    <w:rsid w:val="507F5518"/>
    <w:rsid w:val="508C6E5E"/>
    <w:rsid w:val="509449BA"/>
    <w:rsid w:val="50C44FE5"/>
    <w:rsid w:val="511C1BB1"/>
    <w:rsid w:val="513F29CB"/>
    <w:rsid w:val="51B23529"/>
    <w:rsid w:val="53230088"/>
    <w:rsid w:val="5330193F"/>
    <w:rsid w:val="53310EBC"/>
    <w:rsid w:val="548D2F14"/>
    <w:rsid w:val="55C24B8C"/>
    <w:rsid w:val="56A47B4C"/>
    <w:rsid w:val="57262D83"/>
    <w:rsid w:val="579F2336"/>
    <w:rsid w:val="584F109E"/>
    <w:rsid w:val="588F71C7"/>
    <w:rsid w:val="58983921"/>
    <w:rsid w:val="58AE7AA3"/>
    <w:rsid w:val="58BC2D8F"/>
    <w:rsid w:val="58D65D0C"/>
    <w:rsid w:val="593A1D34"/>
    <w:rsid w:val="5A137198"/>
    <w:rsid w:val="5A294388"/>
    <w:rsid w:val="5BFF19B7"/>
    <w:rsid w:val="5D8A5339"/>
    <w:rsid w:val="5EA22B39"/>
    <w:rsid w:val="5EEC527E"/>
    <w:rsid w:val="5F5A06C4"/>
    <w:rsid w:val="5F7D1369"/>
    <w:rsid w:val="5FCF2BF0"/>
    <w:rsid w:val="60CE543A"/>
    <w:rsid w:val="61795A7A"/>
    <w:rsid w:val="62077D3E"/>
    <w:rsid w:val="62E47488"/>
    <w:rsid w:val="6415728C"/>
    <w:rsid w:val="648238D8"/>
    <w:rsid w:val="6494140E"/>
    <w:rsid w:val="64A81074"/>
    <w:rsid w:val="64BC75C5"/>
    <w:rsid w:val="64D50213"/>
    <w:rsid w:val="64FB34AA"/>
    <w:rsid w:val="654C2333"/>
    <w:rsid w:val="66767474"/>
    <w:rsid w:val="67C56F28"/>
    <w:rsid w:val="67EF38E5"/>
    <w:rsid w:val="687E7618"/>
    <w:rsid w:val="68F407AF"/>
    <w:rsid w:val="68F744E5"/>
    <w:rsid w:val="69B02EE5"/>
    <w:rsid w:val="6A0E4F40"/>
    <w:rsid w:val="6AB25F61"/>
    <w:rsid w:val="6BFE5E42"/>
    <w:rsid w:val="6C037976"/>
    <w:rsid w:val="6C1A2DFD"/>
    <w:rsid w:val="6C924200"/>
    <w:rsid w:val="6CF60371"/>
    <w:rsid w:val="6D5F6C78"/>
    <w:rsid w:val="6D785CC5"/>
    <w:rsid w:val="6D90640C"/>
    <w:rsid w:val="6DBF412D"/>
    <w:rsid w:val="6DC02EE0"/>
    <w:rsid w:val="6DCB1C91"/>
    <w:rsid w:val="6DFD0F35"/>
    <w:rsid w:val="6ED63591"/>
    <w:rsid w:val="6F127BA2"/>
    <w:rsid w:val="6F5A6F67"/>
    <w:rsid w:val="6F5B38A2"/>
    <w:rsid w:val="70C656B4"/>
    <w:rsid w:val="71893A98"/>
    <w:rsid w:val="71D97A3D"/>
    <w:rsid w:val="724350C3"/>
    <w:rsid w:val="7363248F"/>
    <w:rsid w:val="737170CE"/>
    <w:rsid w:val="73721B50"/>
    <w:rsid w:val="742D4EA6"/>
    <w:rsid w:val="742F6946"/>
    <w:rsid w:val="74547DC7"/>
    <w:rsid w:val="75903B4B"/>
    <w:rsid w:val="75C34FED"/>
    <w:rsid w:val="76795B07"/>
    <w:rsid w:val="768C35A2"/>
    <w:rsid w:val="76B23E58"/>
    <w:rsid w:val="76EC1E85"/>
    <w:rsid w:val="76F12026"/>
    <w:rsid w:val="77A82B21"/>
    <w:rsid w:val="780F6AA2"/>
    <w:rsid w:val="78943EFF"/>
    <w:rsid w:val="789D4739"/>
    <w:rsid w:val="78F752A6"/>
    <w:rsid w:val="790C6E01"/>
    <w:rsid w:val="793C0443"/>
    <w:rsid w:val="7A177B19"/>
    <w:rsid w:val="7A1D70BE"/>
    <w:rsid w:val="7ADB6507"/>
    <w:rsid w:val="7AE95EBE"/>
    <w:rsid w:val="7B7146CA"/>
    <w:rsid w:val="7B9A5E74"/>
    <w:rsid w:val="7C112C15"/>
    <w:rsid w:val="7C30470A"/>
    <w:rsid w:val="7C407D56"/>
    <w:rsid w:val="7CCA351D"/>
    <w:rsid w:val="7CD75741"/>
    <w:rsid w:val="7D0146C0"/>
    <w:rsid w:val="7D210407"/>
    <w:rsid w:val="7D2C444E"/>
    <w:rsid w:val="7D5630CB"/>
    <w:rsid w:val="7DA53EB5"/>
    <w:rsid w:val="7ECE4085"/>
    <w:rsid w:val="7F446B6B"/>
    <w:rsid w:val="7FEC70FC"/>
    <w:rsid w:val="7FFB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7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4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link w:val="28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unhideWhenUsed/>
    <w:qFormat/>
    <w:uiPriority w:val="1"/>
  </w:style>
  <w:style w:type="table" w:default="1" w:styleId="2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 Indent"/>
    <w:basedOn w:val="1"/>
    <w:qFormat/>
    <w:uiPriority w:val="0"/>
    <w:pPr>
      <w:ind w:firstLine="720" w:firstLineChars="257"/>
    </w:pPr>
    <w:rPr>
      <w:sz w:val="28"/>
    </w:rPr>
  </w:style>
  <w:style w:type="paragraph" w:styleId="12">
    <w:name w:val="toc 3"/>
    <w:basedOn w:val="1"/>
    <w:next w:val="1"/>
    <w:qFormat/>
    <w:uiPriority w:val="39"/>
    <w:pPr>
      <w:ind w:left="840" w:leftChars="400"/>
    </w:pPr>
    <w:rPr>
      <w:sz w:val="21"/>
    </w:rPr>
  </w:style>
  <w:style w:type="paragraph" w:styleId="13">
    <w:name w:val="Balloon Text"/>
    <w:basedOn w:val="1"/>
    <w:link w:val="26"/>
    <w:qFormat/>
    <w:uiPriority w:val="0"/>
    <w:rPr>
      <w:sz w:val="18"/>
      <w:szCs w:val="18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6">
    <w:name w:val="toc 1"/>
    <w:basedOn w:val="1"/>
    <w:next w:val="1"/>
    <w:qFormat/>
    <w:uiPriority w:val="39"/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paragraph" w:styleId="18">
    <w:name w:val="Normal (Web)"/>
    <w:basedOn w:val="1"/>
    <w:qFormat/>
    <w:uiPriority w:val="0"/>
  </w:style>
  <w:style w:type="character" w:styleId="20">
    <w:name w:val="FollowedHyperlink"/>
    <w:qFormat/>
    <w:uiPriority w:val="0"/>
    <w:rPr>
      <w:color w:val="800080"/>
      <w:u w:val="single"/>
    </w:rPr>
  </w:style>
  <w:style w:type="character" w:styleId="21">
    <w:name w:val="Hyperlink"/>
    <w:qFormat/>
    <w:uiPriority w:val="99"/>
    <w:rPr>
      <w:color w:val="0563C1"/>
      <w:u w:val="single"/>
    </w:rPr>
  </w:style>
  <w:style w:type="table" w:styleId="23">
    <w:name w:val="Table Grid"/>
    <w:basedOn w:val="22"/>
    <w:qFormat/>
    <w:uiPriority w:val="59"/>
    <w:pPr>
      <w:widowControl w:val="0"/>
      <w:jc w:val="both"/>
    </w:pPr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标题 4 Char"/>
    <w:link w:val="5"/>
    <w:qFormat/>
    <w:uiPriority w:val="0"/>
    <w:rPr>
      <w:rFonts w:ascii="Arial" w:hAnsi="Arial" w:eastAsia="宋体"/>
      <w:b/>
      <w:sz w:val="28"/>
    </w:rPr>
  </w:style>
  <w:style w:type="paragraph" w:customStyle="1" w:styleId="25">
    <w:name w:val="列出段落1"/>
    <w:basedOn w:val="1"/>
    <w:qFormat/>
    <w:uiPriority w:val="99"/>
    <w:pPr>
      <w:ind w:firstLine="420"/>
    </w:pPr>
  </w:style>
  <w:style w:type="character" w:customStyle="1" w:styleId="26">
    <w:name w:val="批注框文本 Char"/>
    <w:basedOn w:val="19"/>
    <w:link w:val="13"/>
    <w:qFormat/>
    <w:uiPriority w:val="0"/>
    <w:rPr>
      <w:rFonts w:ascii="Calibri" w:hAnsi="Calibri" w:cstheme="minorBidi"/>
      <w:kern w:val="2"/>
      <w:sz w:val="18"/>
      <w:szCs w:val="18"/>
    </w:rPr>
  </w:style>
  <w:style w:type="character" w:customStyle="1" w:styleId="27">
    <w:name w:val="标题 3 Char"/>
    <w:link w:val="4"/>
    <w:qFormat/>
    <w:uiPriority w:val="0"/>
    <w:rPr>
      <w:b/>
      <w:sz w:val="32"/>
    </w:rPr>
  </w:style>
  <w:style w:type="character" w:customStyle="1" w:styleId="28">
    <w:name w:val="标题 5 Char"/>
    <w:link w:val="6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1" Type="http://schemas.openxmlformats.org/officeDocument/2006/relationships/fontTable" Target="fontTable.xml"/><Relationship Id="rId70" Type="http://schemas.openxmlformats.org/officeDocument/2006/relationships/numbering" Target="numbering.xml"/><Relationship Id="rId7" Type="http://schemas.openxmlformats.org/officeDocument/2006/relationships/image" Target="media/image2.png"/><Relationship Id="rId69" Type="http://schemas.openxmlformats.org/officeDocument/2006/relationships/customXml" Target="../customXml/item1.xml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1273</Words>
  <Characters>7260</Characters>
  <Lines>60</Lines>
  <Paragraphs>17</Paragraphs>
  <TotalTime>0</TotalTime>
  <ScaleCrop>false</ScaleCrop>
  <LinksUpToDate>false</LinksUpToDate>
  <CharactersWithSpaces>8516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2019-10-25T09:05:00Z</dcterms:created>
  <dc:creator>ＣＣＹ</dc:creator>
  <cp:lastModifiedBy>Administrator</cp:lastModifiedBy>
  <cp:lastPrinted>2019-05-24T13:35:00Z</cp:lastPrinted>
  <dcterms:modified xsi:type="dcterms:W3CDTF">2020-12-16T02:00:35Z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