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</w:p>
    <w:p>
      <w:pPr>
        <w:jc w:val="center"/>
      </w:pPr>
      <w:r>
        <w:rPr>
          <w:rFonts w:hint="eastAsia"/>
          <w:b/>
          <w:bCs/>
          <w:sz w:val="52"/>
          <w:szCs w:val="52"/>
        </w:rPr>
        <w:t>皖南医学院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0"/>
      </w:pPr>
    </w:p>
    <w:p>
      <w:pPr>
        <w:jc w:val="center"/>
      </w:pPr>
      <w:r>
        <w:rPr>
          <w:rFonts w:hint="eastAsia"/>
          <w:b/>
          <w:bCs/>
          <w:sz w:val="52"/>
          <w:szCs w:val="52"/>
        </w:rPr>
        <w:t>专业选修课、公共选修课选课</w:t>
      </w:r>
    </w:p>
    <w:p>
      <w:pPr>
        <w:jc w:val="center"/>
      </w:pPr>
      <w:r>
        <w:rPr>
          <w:rFonts w:hint="eastAsia" w:ascii="宋体" w:hAnsi="宋体" w:cs="宋体"/>
          <w:b/>
          <w:bCs/>
          <w:sz w:val="52"/>
          <w:szCs w:val="52"/>
        </w:rPr>
        <w:t>操作手册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bookmarkStart w:id="11" w:name="_GoBack"/>
      <w:bookmarkEnd w:id="11"/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jc w:val="center"/>
      </w:pPr>
    </w:p>
    <w:p>
      <w:pPr>
        <w:jc w:val="center"/>
      </w:pPr>
    </w:p>
    <w:sdt>
      <w:sdtPr>
        <w:rPr>
          <w:rFonts w:ascii="宋体" w:hAnsi="宋体"/>
          <w:b/>
          <w:bCs/>
          <w:sz w:val="32"/>
          <w:szCs w:val="32"/>
        </w:rPr>
        <w:id w:val="147470141"/>
        <w:docPartObj>
          <w:docPartGallery w:val="Table of Contents"/>
          <w:docPartUnique/>
        </w:docPartObj>
      </w:sdtPr>
      <w:sdtEndPr>
        <w:rPr>
          <w:rFonts w:ascii="宋体" w:hAnsi="宋体"/>
          <w:b/>
          <w:bCs/>
          <w:sz w:val="32"/>
          <w:szCs w:val="32"/>
        </w:rPr>
      </w:sdtEndPr>
      <w:sdtContent>
        <w:p>
          <w:pPr>
            <w:spacing w:line="240" w:lineRule="auto"/>
            <w:ind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"_Toc27922" </w:instrText>
          </w:r>
          <w:r>
            <w:fldChar w:fldCharType="separate"/>
          </w:r>
          <w:r>
            <w:rPr>
              <w:rFonts w:hint="eastAsia"/>
            </w:rPr>
            <w:t>一、 专业、公共选修课选课</w:t>
          </w:r>
          <w:r>
            <w:tab/>
          </w:r>
          <w:r>
            <w:fldChar w:fldCharType="begin"/>
          </w:r>
          <w:r>
            <w:instrText xml:space="preserve"> PAGEREF _Toc27922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"_Toc12442" </w:instrText>
          </w:r>
          <w:r>
            <w:fldChar w:fldCharType="separate"/>
          </w:r>
          <w:r>
            <w:rPr>
              <w:rFonts w:hint="eastAsia"/>
            </w:rPr>
            <w:t>（一） 进入登录界面</w:t>
          </w:r>
          <w:r>
            <w:tab/>
          </w:r>
          <w:r>
            <w:fldChar w:fldCharType="begin"/>
          </w:r>
          <w:r>
            <w:instrText xml:space="preserve"> PAGEREF _Toc12442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"_Toc28647" </w:instrText>
          </w:r>
          <w:r>
            <w:fldChar w:fldCharType="separate"/>
          </w:r>
          <w:r>
            <w:rPr>
              <w:rFonts w:hint="eastAsia"/>
            </w:rPr>
            <w:t>（二） 登录教务系统</w:t>
          </w:r>
          <w:r>
            <w:tab/>
          </w:r>
          <w:r>
            <w:fldChar w:fldCharType="begin"/>
          </w:r>
          <w:r>
            <w:instrText xml:space="preserve"> PAGEREF _Toc28647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"_Toc22019"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_Toc22019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"_Toc12953"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_Toc12953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"_Toc16199" </w:instrText>
          </w:r>
          <w:r>
            <w:fldChar w:fldCharType="separate"/>
          </w:r>
          <w:r>
            <w:rPr>
              <w:rFonts w:hint="eastAsia"/>
            </w:rPr>
            <w:t>（三） 进行选课</w:t>
          </w:r>
          <w:r>
            <w:tab/>
          </w:r>
          <w:r>
            <w:fldChar w:fldCharType="begin"/>
          </w:r>
          <w:r>
            <w:instrText xml:space="preserve"> PAGEREF _Toc16199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"_Toc1113"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专业选修课选课</w:t>
          </w:r>
          <w:r>
            <w:tab/>
          </w:r>
          <w:r>
            <w:fldChar w:fldCharType="begin"/>
          </w:r>
          <w:r>
            <w:instrText xml:space="preserve"> PAGEREF _Toc1113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"_Toc15490"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公共选修课选课</w:t>
          </w:r>
          <w:r>
            <w:tab/>
          </w:r>
          <w:r>
            <w:fldChar w:fldCharType="begin"/>
          </w:r>
          <w:r>
            <w:instrText xml:space="preserve"> PAGEREF _Toc15490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"_Toc25557" </w:instrText>
          </w:r>
          <w:r>
            <w:fldChar w:fldCharType="separate"/>
          </w:r>
          <w:r>
            <w:rPr>
              <w:rFonts w:hint="eastAsia"/>
            </w:rPr>
            <w:t>（四） 选课结果查看</w:t>
          </w:r>
          <w:r>
            <w:tab/>
          </w:r>
          <w:r>
            <w:fldChar w:fldCharType="begin"/>
          </w:r>
          <w:r>
            <w:instrText xml:space="preserve"> PAGEREF _Toc25557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"_Toc3236"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选课管理-&gt;选课结果查看</w:t>
          </w:r>
          <w:r>
            <w:tab/>
          </w:r>
          <w:r>
            <w:fldChar w:fldCharType="begin"/>
          </w:r>
          <w:r>
            <w:instrText xml:space="preserve"> PAGEREF _Toc3236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"_Toc19282"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教务查询-&gt;课表查询</w:t>
          </w:r>
          <w:r>
            <w:tab/>
          </w:r>
          <w:r>
            <w:fldChar w:fldCharType="begin"/>
          </w:r>
          <w:r>
            <w:instrText xml:space="preserve"> PAGEREF _Toc19282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Toc27922"/>
      <w:r>
        <w:rPr>
          <w:rFonts w:hint="eastAsia"/>
        </w:rPr>
        <w:t>专业、公共选修课选课</w:t>
      </w:r>
      <w:bookmarkEnd w:id="0"/>
    </w:p>
    <w:p>
      <w:pPr>
        <w:rPr>
          <w:color w:val="FF0000"/>
        </w:rPr>
      </w:pPr>
      <w:r>
        <w:rPr>
          <w:rFonts w:hint="eastAsia"/>
          <w:color w:val="FF0000"/>
        </w:rPr>
        <w:t>请使用谷歌浏览器（Chrome浏览器）、360安全浏览器（极速模式）、360极速浏览器（极速模式）、火狐浏览器（Firefox浏览器）进行浏览。</w:t>
      </w:r>
    </w:p>
    <w:p>
      <w:pPr>
        <w:jc w:val="center"/>
      </w:pPr>
      <w:r>
        <w:drawing>
          <wp:inline distT="0" distB="0" distL="114300" distR="114300">
            <wp:extent cx="2790825" cy="94297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360安全浏览器极速模式设置方法：</w:t>
      </w:r>
    </w:p>
    <w:p>
      <w:pPr>
        <w:ind w:firstLine="0"/>
      </w:pPr>
      <w:r>
        <w:drawing>
          <wp:inline distT="0" distB="0" distL="114300" distR="114300">
            <wp:extent cx="5272405" cy="1917065"/>
            <wp:effectExtent l="0" t="0" r="44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360极速浏览器极速模式设置方法：</w:t>
      </w:r>
    </w:p>
    <w:p>
      <w:pPr>
        <w:ind w:firstLine="0"/>
      </w:pPr>
      <w:r>
        <w:drawing>
          <wp:inline distT="0" distB="0" distL="114300" distR="114300">
            <wp:extent cx="5266690" cy="1687195"/>
            <wp:effectExtent l="0" t="0" r="1016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pStyle w:val="3"/>
      </w:pPr>
      <w:bookmarkStart w:id="1" w:name="_Toc12442"/>
      <w:r>
        <w:rPr>
          <w:rFonts w:hint="eastAsia"/>
        </w:rPr>
        <w:t>进入登录界面</w:t>
      </w:r>
      <w:bookmarkEnd w:id="1"/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可以通过皖南医学院官网下方“快速通道”中“教务系统”进入。</w:t>
      </w:r>
    </w:p>
    <w:p>
      <w:r>
        <w:rPr>
          <w:rFonts w:hint="eastAsia"/>
        </w:rPr>
        <w:t>皖南医学院官网：</w:t>
      </w:r>
      <w:r>
        <w:fldChar w:fldCharType="begin"/>
      </w:r>
      <w:r>
        <w:instrText xml:space="preserve"> HYPERLINK "https://www.wnmc.edu.cn/" </w:instrText>
      </w:r>
      <w:r>
        <w:fldChar w:fldCharType="separate"/>
      </w:r>
      <w:r>
        <w:rPr>
          <w:rStyle w:val="15"/>
          <w:rFonts w:hint="eastAsia"/>
        </w:rPr>
        <w:t>https://www.wnmc.edu.cn/</w:t>
      </w:r>
      <w:r>
        <w:rPr>
          <w:rStyle w:val="15"/>
          <w:rFonts w:hint="eastAsia"/>
        </w:rPr>
        <w:fldChar w:fldCharType="end"/>
      </w:r>
    </w:p>
    <w:p>
      <w:pPr>
        <w:ind w:firstLine="0"/>
      </w:pPr>
      <w:r>
        <w:drawing>
          <wp:inline distT="0" distB="0" distL="114300" distR="114300">
            <wp:extent cx="5271770" cy="325628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rFonts w:ascii="宋体" w:hAnsi="宋体" w:cs="宋体"/>
          <w:sz w:val="28"/>
          <w:szCs w:val="28"/>
        </w:rPr>
      </w:pPr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也可以通过直接访问教务系统网址快速进入登录界面</w:t>
      </w:r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教务系统网址：</w:t>
      </w:r>
      <w:r>
        <w:fldChar w:fldCharType="begin"/>
      </w:r>
      <w:r>
        <w:instrText xml:space="preserve"> HYPERLINK "https://jiaowu.wnmc.edu.cn/" </w:instrText>
      </w:r>
      <w:r>
        <w:fldChar w:fldCharType="separate"/>
      </w:r>
      <w:r>
        <w:rPr>
          <w:rStyle w:val="15"/>
          <w:rFonts w:hint="eastAsia" w:ascii="宋体" w:hAnsi="宋体" w:cs="宋体"/>
          <w:szCs w:val="28"/>
        </w:rPr>
        <w:t>https://jiaowu.wnmc.edu.cn/</w:t>
      </w:r>
      <w:r>
        <w:rPr>
          <w:rStyle w:val="15"/>
          <w:rFonts w:hint="eastAsia" w:ascii="宋体" w:hAnsi="宋体" w:cs="宋体"/>
          <w:szCs w:val="28"/>
        </w:rPr>
        <w:fldChar w:fldCharType="end"/>
      </w:r>
    </w:p>
    <w:p>
      <w:pPr>
        <w:rPr>
          <w:rFonts w:ascii="宋体" w:hAnsi="宋体" w:cs="宋体"/>
          <w:szCs w:val="28"/>
        </w:rPr>
      </w:pPr>
    </w:p>
    <w:p>
      <w:pPr>
        <w:pStyle w:val="3"/>
      </w:pPr>
      <w:bookmarkStart w:id="2" w:name="_Toc28647"/>
      <w:r>
        <w:rPr>
          <w:rFonts w:hint="eastAsia"/>
        </w:rPr>
        <w:t>登录教务系统</w:t>
      </w:r>
      <w:bookmarkEnd w:id="2"/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教务系统的登录账号为学号，初始密码默认为身份证号全部，若身份号包含字母“X”请输入大写的“X”。</w:t>
      </w:r>
    </w:p>
    <w:p>
      <w:pPr>
        <w:ind w:firstLine="0"/>
        <w:jc w:val="left"/>
      </w:pPr>
      <w:r>
        <w:drawing>
          <wp:inline distT="0" distB="0" distL="114300" distR="114300">
            <wp:extent cx="5273040" cy="2783840"/>
            <wp:effectExtent l="0" t="0" r="381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200" w:after="200"/>
        <w:ind w:left="403" w:firstLine="0"/>
      </w:pPr>
      <w:bookmarkStart w:id="3" w:name="_Toc22019"/>
      <w:r>
        <w:rPr>
          <w:rFonts w:hint="eastAsia"/>
        </w:rPr>
        <w:t>修改密码</w:t>
      </w:r>
      <w:bookmarkEnd w:id="3"/>
    </w:p>
    <w:p>
      <w:pPr>
        <w:ind w:firstLine="420"/>
        <w:jc w:val="left"/>
      </w:pPr>
      <w:r>
        <w:rPr>
          <w:rFonts w:hint="eastAsia"/>
        </w:rPr>
        <w:t>登录后可以通过点击右上角“学生”，点击【修改密码】按钮，将会弹出“修改密码”窗口。在此窗口输入旧密码、新密码以及确认密码点击【确定】按钮即可修改成功。</w:t>
      </w:r>
    </w:p>
    <w:p>
      <w:pPr>
        <w:ind w:firstLine="0"/>
        <w:jc w:val="left"/>
      </w:pPr>
      <w:r>
        <w:drawing>
          <wp:inline distT="0" distB="0" distL="114300" distR="114300">
            <wp:extent cx="4886325" cy="40767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left"/>
      </w:pPr>
      <w:r>
        <w:drawing>
          <wp:inline distT="0" distB="0" distL="114300" distR="114300">
            <wp:extent cx="4791075" cy="26860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200" w:after="200"/>
        <w:ind w:left="403" w:firstLine="0"/>
      </w:pPr>
      <w:bookmarkStart w:id="4" w:name="_Toc12953"/>
      <w:r>
        <w:rPr>
          <w:rFonts w:hint="eastAsia"/>
        </w:rPr>
        <w:t>忘记密码</w:t>
      </w:r>
      <w:bookmarkEnd w:id="4"/>
    </w:p>
    <w:p>
      <w:pPr>
        <w:ind w:firstLine="420"/>
        <w:jc w:val="left"/>
      </w:pPr>
      <w:r>
        <w:rPr>
          <w:rFonts w:hint="eastAsia"/>
        </w:rPr>
        <w:t>若忘记登录密码，请联系所在班级辅导员进行密码重置。</w:t>
      </w:r>
    </w:p>
    <w:p>
      <w:pPr>
        <w:pStyle w:val="3"/>
      </w:pPr>
      <w:bookmarkStart w:id="5" w:name="_Toc16199"/>
      <w:r>
        <w:rPr>
          <w:rFonts w:hint="eastAsia"/>
        </w:rPr>
        <w:t>进行选课</w:t>
      </w:r>
      <w:bookmarkEnd w:id="5"/>
    </w:p>
    <w:p>
      <w:r>
        <w:rPr>
          <w:rFonts w:hint="eastAsia"/>
        </w:rPr>
        <w:t>点击页面上方【选课管理】按钮，左侧菜单栏将会变成选课管理菜单。</w:t>
      </w:r>
    </w:p>
    <w:p>
      <w:pPr>
        <w:ind w:firstLine="0"/>
      </w:pPr>
      <w:r>
        <w:drawing>
          <wp:inline distT="0" distB="0" distL="114300" distR="114300">
            <wp:extent cx="5273040" cy="2576195"/>
            <wp:effectExtent l="0" t="0" r="381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before="200" w:after="200"/>
        <w:ind w:left="403" w:firstLine="0"/>
      </w:pPr>
      <w:bookmarkStart w:id="6" w:name="_Toc1113"/>
      <w:r>
        <w:rPr>
          <w:rFonts w:hint="eastAsia"/>
        </w:rPr>
        <w:t>专业选修课选课</w:t>
      </w:r>
      <w:bookmarkEnd w:id="6"/>
    </w:p>
    <w:p>
      <w:r>
        <w:rPr>
          <w:rFonts w:hint="eastAsia"/>
        </w:rPr>
        <w:t>点击左侧【专业选修课选课】按钮，右侧界面将会跳转到专业选修课选课界面。</w:t>
      </w:r>
    </w:p>
    <w:p>
      <w:pPr>
        <w:ind w:firstLine="0"/>
      </w:pPr>
      <w:r>
        <w:drawing>
          <wp:inline distT="0" distB="0" distL="114300" distR="114300">
            <wp:extent cx="5266055" cy="2965450"/>
            <wp:effectExtent l="0" t="0" r="10795" b="635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页面上方为选课区域，可以查看可选的课程。</w:t>
      </w:r>
    </w:p>
    <w:p>
      <w:r>
        <w:rPr>
          <w:rFonts w:hint="eastAsia"/>
        </w:rPr>
        <w:t>点击课程信息后方【单击选课】按钮，即可进行选课。</w:t>
      </w:r>
    </w:p>
    <w:p>
      <w:pPr>
        <w:ind w:firstLine="0"/>
      </w:pPr>
      <w:r>
        <w:drawing>
          <wp:inline distT="0" distB="0" distL="114300" distR="114300">
            <wp:extent cx="5268595" cy="2844165"/>
            <wp:effectExtent l="0" t="0" r="8255" b="133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选课成功后可以在页面下方看到该条课程记录。</w:t>
      </w:r>
    </w:p>
    <w:p>
      <w:pPr>
        <w:ind w:firstLine="0"/>
      </w:pPr>
      <w:r>
        <w:drawing>
          <wp:inline distT="0" distB="0" distL="114300" distR="114300">
            <wp:extent cx="5267960" cy="1694180"/>
            <wp:effectExtent l="0" t="0" r="889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before="200" w:after="200"/>
        <w:ind w:left="403" w:firstLine="0"/>
      </w:pPr>
      <w:bookmarkStart w:id="7" w:name="_Toc15490"/>
      <w:r>
        <w:rPr>
          <w:rFonts w:hint="eastAsia"/>
        </w:rPr>
        <w:t>公共选修课选课</w:t>
      </w:r>
      <w:bookmarkEnd w:id="7"/>
    </w:p>
    <w:p>
      <w:r>
        <w:rPr>
          <w:rFonts w:hint="eastAsia"/>
        </w:rPr>
        <w:t>点击左侧【公共选修课选课】按钮，右侧界面将会跳转到公共选修课选课界面。此界面加载时间较长请耐心等候片刻。</w:t>
      </w:r>
    </w:p>
    <w:p>
      <w:pPr>
        <w:spacing w:line="240" w:lineRule="auto"/>
        <w:ind w:firstLine="0"/>
        <w:rPr>
          <w:rFonts w:ascii="宋体" w:hAnsi="宋体" w:cs="宋体"/>
          <w:sz w:val="28"/>
          <w:szCs w:val="28"/>
        </w:rPr>
      </w:pPr>
      <w:r>
        <w:drawing>
          <wp:inline distT="0" distB="0" distL="114300" distR="114300">
            <wp:extent cx="5269230" cy="2765425"/>
            <wp:effectExtent l="0" t="0" r="7620" b="1587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页面上方为选课区域，可以查看可选的课程。</w:t>
      </w:r>
    </w:p>
    <w:p>
      <w:r>
        <w:rPr>
          <w:rFonts w:hint="eastAsia"/>
        </w:rPr>
        <w:t>点击课程信息后方【单击选课】按钮，即可进行选课，课程类别为“校内公共选修课”的请注意查看上课时间是否与课表冲突；课程类别为“超星尔雅公共选修课”需在超星尔雅网上学习平台完成学习；课程类别为“智慧树公共选修课” 需在智慧树网上学习平台完成学习。当“余数”为0时代表该课程选课人数已满，请选择其他课程。</w:t>
      </w:r>
    </w:p>
    <w:p>
      <w:pPr>
        <w:ind w:firstLine="0"/>
      </w:pPr>
      <w:r>
        <w:drawing>
          <wp:inline distT="0" distB="0" distL="114300" distR="114300">
            <wp:extent cx="5271135" cy="4232275"/>
            <wp:effectExtent l="0" t="0" r="5715" b="158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选课成功后可以在页面下方看到该条课程记录。</w:t>
      </w:r>
    </w:p>
    <w:p>
      <w:pPr>
        <w:ind w:firstLine="0"/>
      </w:pPr>
      <w:r>
        <w:drawing>
          <wp:inline distT="0" distB="0" distL="114300" distR="114300">
            <wp:extent cx="5267960" cy="1694180"/>
            <wp:effectExtent l="0" t="0" r="8890" b="12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pStyle w:val="3"/>
      </w:pPr>
      <w:bookmarkStart w:id="8" w:name="_Toc25557"/>
      <w:r>
        <w:rPr>
          <w:rFonts w:hint="eastAsia"/>
        </w:rPr>
        <w:t>选课结果查看</w:t>
      </w:r>
      <w:bookmarkEnd w:id="8"/>
    </w:p>
    <w:p>
      <w:r>
        <w:rPr>
          <w:rFonts w:hint="eastAsia"/>
        </w:rPr>
        <w:t>有两个途径可以查看选课结果。分别位于“选课管理”与“教务查询”功能内。其中专业选修课和公共选修课中类别为“校内公共选修课”可以从“教务查询-&gt;课表查询”查看到。结果查询会有一定延迟，选课完成后请过一会再进行查询。</w:t>
      </w:r>
    </w:p>
    <w:p>
      <w:pPr>
        <w:pStyle w:val="4"/>
        <w:numPr>
          <w:ilvl w:val="0"/>
          <w:numId w:val="4"/>
        </w:numPr>
        <w:spacing w:before="200" w:after="200"/>
        <w:ind w:left="403" w:firstLine="0"/>
      </w:pPr>
      <w:bookmarkStart w:id="9" w:name="_Toc3236"/>
      <w:r>
        <w:rPr>
          <w:rFonts w:hint="eastAsia"/>
        </w:rPr>
        <w:t>选课管理-&gt;选课结果查看</w:t>
      </w:r>
      <w:bookmarkEnd w:id="9"/>
    </w:p>
    <w:p>
      <w:r>
        <w:rPr>
          <w:rFonts w:hint="eastAsia"/>
        </w:rPr>
        <w:t>点击页面上方【选课管理】按钮，左侧菜单栏将会变成选课管理菜单。</w:t>
      </w:r>
    </w:p>
    <w:p>
      <w:pPr>
        <w:ind w:firstLine="0"/>
      </w:pPr>
      <w:r>
        <w:drawing>
          <wp:inline distT="0" distB="0" distL="114300" distR="114300">
            <wp:extent cx="5273040" cy="2576195"/>
            <wp:effectExtent l="0" t="0" r="3810" b="146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ind w:firstLine="420"/>
      </w:pPr>
      <w:r>
        <w:rPr>
          <w:rFonts w:hint="eastAsia"/>
        </w:rPr>
        <w:t>点击左侧【选课结果查看】按钮，右侧界面将会跳转到选课结果查看界面。在此界面即可查看选课结果</w:t>
      </w:r>
    </w:p>
    <w:p>
      <w:pPr>
        <w:ind w:firstLine="0"/>
      </w:pPr>
      <w:r>
        <w:drawing>
          <wp:inline distT="0" distB="0" distL="114300" distR="114300">
            <wp:extent cx="5267325" cy="2836545"/>
            <wp:effectExtent l="0" t="0" r="9525" b="190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4"/>
        </w:numPr>
        <w:spacing w:before="200" w:after="200"/>
        <w:ind w:left="403" w:firstLine="0"/>
      </w:pPr>
      <w:bookmarkStart w:id="10" w:name="_Toc19282"/>
      <w:r>
        <w:rPr>
          <w:rFonts w:hint="eastAsia"/>
        </w:rPr>
        <w:t>教务查询-&gt;课表查询</w:t>
      </w:r>
      <w:bookmarkEnd w:id="10"/>
    </w:p>
    <w:p>
      <w:pPr>
        <w:spacing w:line="240" w:lineRule="auto"/>
        <w:ind w:firstLine="0"/>
        <w:jc w:val="left"/>
        <w:rPr>
          <w:rFonts w:ascii="宋体" w:hAnsi="宋体" w:cs="宋体"/>
          <w:sz w:val="28"/>
          <w:szCs w:val="28"/>
        </w:rPr>
      </w:pPr>
      <w:r>
        <w:rPr>
          <w:rFonts w:hint="eastAsia"/>
        </w:rPr>
        <w:t>点击页面上方【教务查询】按钮，左侧菜单栏将会变成教务查询菜单。</w:t>
      </w:r>
    </w:p>
    <w:p>
      <w:pPr>
        <w:spacing w:line="240" w:lineRule="auto"/>
        <w:ind w:firstLine="0"/>
        <w:jc w:val="left"/>
        <w:rPr>
          <w:rFonts w:ascii="宋体" w:hAnsi="宋体" w:cs="宋体"/>
          <w:sz w:val="28"/>
          <w:szCs w:val="28"/>
        </w:rPr>
      </w:pPr>
    </w:p>
    <w:p>
      <w:pPr>
        <w:spacing w:line="240" w:lineRule="auto"/>
        <w:ind w:firstLine="0"/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114300" distR="114300">
            <wp:extent cx="5273040" cy="2645410"/>
            <wp:effectExtent l="0" t="0" r="3810" b="254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点击左侧【课表查询】按钮，右侧界面将会跳转到课表查看界面。</w:t>
      </w:r>
    </w:p>
    <w:p>
      <w:pPr>
        <w:ind w:firstLine="0"/>
      </w:pPr>
      <w:r>
        <w:drawing>
          <wp:inline distT="0" distB="0" distL="114300" distR="114300">
            <wp:extent cx="5267325" cy="3359785"/>
            <wp:effectExtent l="0" t="0" r="9525" b="1206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ascii="宋体" w:hAnsi="宋体" w:cs="宋体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</w:rPr>
                            <w:t>9</w:t>
                          </w:r>
                          <w:r>
                            <w:rPr>
                              <w:rFonts w:hint="eastAsia" w:ascii="宋体" w:hAnsi="宋体" w:cs="宋体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ascii="宋体" w:hAnsi="宋体" w:cs="宋体"/>
                      </w:rPr>
                    </w:pPr>
                    <w:r>
                      <w:rPr>
                        <w:rFonts w:hint="eastAsia" w:ascii="宋体" w:hAnsi="宋体" w:cs="宋体"/>
                      </w:rPr>
                      <w:t xml:space="preserve">第 </w:t>
                    </w:r>
                    <w:r>
                      <w:rPr>
                        <w:rFonts w:hint="eastAsia" w:ascii="宋体" w:hAnsi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</w:rPr>
                      <w:t>9</w:t>
                    </w:r>
                    <w:r>
                      <w:rPr>
                        <w:rFonts w:hint="eastAsia" w:ascii="宋体" w:hAnsi="宋体" w:cs="宋体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ind w:firstLine="0"/>
      <w:rPr>
        <w:rFonts w:ascii="宋体" w:hAnsi="宋体" w:cs="宋体"/>
        <w:szCs w:val="18"/>
      </w:rPr>
    </w:pPr>
    <w:r>
      <w:rPr>
        <w:rFonts w:hint="eastAsia" w:ascii="宋体" w:hAnsi="宋体" w:cs="宋体"/>
        <w:szCs w:val="18"/>
      </w:rPr>
      <w:t>合肥讯百软件科技有限公司www.xbellsoft.com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FC96E"/>
    <w:multiLevelType w:val="singleLevel"/>
    <w:tmpl w:val="04CFC96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7539FB5"/>
    <w:multiLevelType w:val="singleLevel"/>
    <w:tmpl w:val="07539F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EDB6036"/>
    <w:multiLevelType w:val="singleLevel"/>
    <w:tmpl w:val="5EDB603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35C38E5"/>
    <w:multiLevelType w:val="multilevel"/>
    <w:tmpl w:val="635C38E5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5B757A"/>
    <w:rsid w:val="00132E54"/>
    <w:rsid w:val="002F5805"/>
    <w:rsid w:val="00325D4B"/>
    <w:rsid w:val="0039248A"/>
    <w:rsid w:val="00434C9C"/>
    <w:rsid w:val="004901FA"/>
    <w:rsid w:val="004A3D24"/>
    <w:rsid w:val="005E7F6D"/>
    <w:rsid w:val="00602BF7"/>
    <w:rsid w:val="00785662"/>
    <w:rsid w:val="007A2E56"/>
    <w:rsid w:val="008426CB"/>
    <w:rsid w:val="0089160E"/>
    <w:rsid w:val="00896B61"/>
    <w:rsid w:val="00A35CED"/>
    <w:rsid w:val="00A93C3D"/>
    <w:rsid w:val="00BB3460"/>
    <w:rsid w:val="00C24366"/>
    <w:rsid w:val="00C775BD"/>
    <w:rsid w:val="00C93E6D"/>
    <w:rsid w:val="00D27745"/>
    <w:rsid w:val="00DB4D7D"/>
    <w:rsid w:val="00F864A9"/>
    <w:rsid w:val="00FA033B"/>
    <w:rsid w:val="00FA72EC"/>
    <w:rsid w:val="00FD08A6"/>
    <w:rsid w:val="0446580C"/>
    <w:rsid w:val="34A97BA9"/>
    <w:rsid w:val="47932883"/>
    <w:rsid w:val="4D273DAC"/>
    <w:rsid w:val="5EB04AB1"/>
    <w:rsid w:val="695B757A"/>
    <w:rsid w:val="748061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54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240" w:lineRule="auto"/>
      <w:outlineLvl w:val="0"/>
    </w:pPr>
    <w:rPr>
      <w:b/>
      <w:kern w:val="44"/>
      <w:sz w:val="3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240" w:lineRule="auto"/>
      <w:outlineLvl w:val="1"/>
    </w:pPr>
    <w:rPr>
      <w:rFonts w:ascii="Arial" w:hAnsi="Arial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240" w:lineRule="auto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line="240" w:lineRule="auto"/>
      <w:outlineLvl w:val="3"/>
    </w:pPr>
    <w:rPr>
      <w:rFonts w:ascii="Arial" w:hAnsi="Arial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注意"/>
    <w:basedOn w:val="1"/>
    <w:qFormat/>
    <w:uiPriority w:val="0"/>
    <w:rPr>
      <w:color w:val="C00000"/>
    </w:rPr>
  </w:style>
  <w:style w:type="paragraph" w:customStyle="1" w:styleId="17">
    <w:name w:val="图片注脚"/>
    <w:basedOn w:val="1"/>
    <w:next w:val="1"/>
    <w:qFormat/>
    <w:uiPriority w:val="0"/>
    <w:pPr>
      <w:jc w:val="center"/>
    </w:pPr>
    <w:rPr>
      <w:rFonts w:eastAsia="仿宋"/>
      <w:sz w:val="21"/>
    </w:rPr>
  </w:style>
  <w:style w:type="character" w:customStyle="1" w:styleId="18">
    <w:name w:val="批注框文本 Char"/>
    <w:basedOn w:val="14"/>
    <w:link w:val="7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295</Words>
  <Characters>1687</Characters>
  <Lines>14</Lines>
  <Paragraphs>3</Paragraphs>
  <TotalTime>7</TotalTime>
  <ScaleCrop>false</ScaleCrop>
  <LinksUpToDate>false</LinksUpToDate>
  <CharactersWithSpaces>1979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2021-03-04T02:46:00Z</dcterms:created>
  <dc:creator>何须强颜欢笑</dc:creator>
  <cp:lastModifiedBy>风吹麦浪1413882279</cp:lastModifiedBy>
  <dcterms:modified xsi:type="dcterms:W3CDTF">2023-09-07T01:14:02Z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02AF2E78748D4E248598E6D38AC14628_13</vt:lpwstr>
  </property>
</Properties>
</file>